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5C99" w14:textId="196E80A1" w:rsidR="00751823"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#112</w:t>
      </w:r>
      <w:r>
        <w:rPr>
          <w:rFonts w:ascii="Arial" w:eastAsia="Batang" w:hAnsi="Arial" w:cs="Arial"/>
          <w:b/>
          <w:bCs/>
          <w:lang w:val="en-GB"/>
        </w:rPr>
        <w:tab/>
      </w:r>
      <w:r>
        <w:rPr>
          <w:rFonts w:ascii="Arial" w:eastAsia="Batang" w:hAnsi="Arial" w:cs="Arial"/>
          <w:b/>
          <w:bCs/>
          <w:lang w:val="en-GB"/>
        </w:rPr>
        <w:tab/>
        <w:t>R1-</w:t>
      </w:r>
      <w:r w:rsidR="00D10626">
        <w:rPr>
          <w:rFonts w:ascii="Arial" w:eastAsia="Batang" w:hAnsi="Arial" w:cs="Arial"/>
          <w:b/>
          <w:bCs/>
          <w:lang w:val="en-GB"/>
        </w:rPr>
        <w:t>2301745</w:t>
      </w:r>
    </w:p>
    <w:p w14:paraId="18AF55D1" w14:textId="7DD58FC8" w:rsidR="00751823" w:rsidRDefault="00000000">
      <w:pPr>
        <w:tabs>
          <w:tab w:val="center" w:pos="4536"/>
          <w:tab w:val="right" w:pos="9072"/>
        </w:tabs>
        <w:rPr>
          <w:rFonts w:ascii="Arial" w:eastAsia="Batang" w:hAnsi="Arial" w:cs="Arial"/>
          <w:b/>
          <w:bCs/>
          <w:lang w:val="en-GB"/>
        </w:rPr>
      </w:pPr>
      <w:r>
        <w:rPr>
          <w:rFonts w:ascii="Arial" w:eastAsia="Batang" w:hAnsi="Arial" w:cs="Arial"/>
          <w:b/>
          <w:bCs/>
          <w:lang w:val="en-GB"/>
        </w:rPr>
        <w:t>Athens, Greece, February 27</w:t>
      </w:r>
      <w:r>
        <w:rPr>
          <w:rFonts w:ascii="Arial" w:eastAsia="Batang" w:hAnsi="Arial" w:cs="Arial"/>
          <w:b/>
          <w:bCs/>
          <w:vertAlign w:val="superscript"/>
          <w:lang w:val="en-GB"/>
        </w:rPr>
        <w:t>th</w:t>
      </w:r>
      <w:r>
        <w:rPr>
          <w:rFonts w:ascii="Arial" w:eastAsia="Batang" w:hAnsi="Arial" w:cs="Arial"/>
          <w:b/>
          <w:bCs/>
          <w:lang w:val="en-GB"/>
        </w:rPr>
        <w:t xml:space="preserve"> – March </w:t>
      </w:r>
      <w:r w:rsidR="00194958">
        <w:rPr>
          <w:rFonts w:ascii="Arial" w:eastAsia="Batang" w:hAnsi="Arial" w:cs="Arial"/>
          <w:b/>
          <w:bCs/>
          <w:lang w:val="en-GB"/>
        </w:rPr>
        <w:t>3</w:t>
      </w:r>
      <w:r w:rsidR="00194958" w:rsidRPr="00194958">
        <w:rPr>
          <w:rFonts w:ascii="Arial" w:eastAsia="Batang" w:hAnsi="Arial" w:cs="Arial"/>
          <w:b/>
          <w:bCs/>
          <w:vertAlign w:val="superscript"/>
          <w:lang w:val="en-GB"/>
        </w:rPr>
        <w:t>rd</w:t>
      </w:r>
      <w:r>
        <w:rPr>
          <w:rFonts w:ascii="Arial" w:eastAsia="Batang" w:hAnsi="Arial" w:cs="Arial"/>
          <w:b/>
          <w:bCs/>
          <w:lang w:val="en-GB"/>
        </w:rPr>
        <w:t>, 2023</w:t>
      </w:r>
    </w:p>
    <w:p w14:paraId="197BECB3" w14:textId="77777777" w:rsidR="00751823" w:rsidRDefault="00751823">
      <w:pPr>
        <w:tabs>
          <w:tab w:val="center" w:pos="4536"/>
          <w:tab w:val="right" w:pos="9072"/>
        </w:tabs>
        <w:rPr>
          <w:rFonts w:ascii="Arial" w:eastAsia="MS Mincho" w:hAnsi="Arial" w:cs="Arial"/>
          <w:b/>
          <w:bCs/>
          <w:lang w:val="en-GB" w:eastAsia="ja-JP"/>
        </w:rPr>
      </w:pPr>
    </w:p>
    <w:p w14:paraId="4234443A" w14:textId="77777777" w:rsidR="00751823" w:rsidRDefault="00000000">
      <w:pPr>
        <w:pStyle w:val="3GPPHeader"/>
        <w:rPr>
          <w:sz w:val="22"/>
          <w:szCs w:val="22"/>
        </w:rPr>
      </w:pPr>
      <w:r>
        <w:rPr>
          <w:sz w:val="22"/>
          <w:szCs w:val="22"/>
        </w:rPr>
        <w:t>Agenda Item:</w:t>
      </w:r>
      <w:r>
        <w:rPr>
          <w:sz w:val="22"/>
          <w:szCs w:val="22"/>
        </w:rPr>
        <w:tab/>
        <w:t>9.3.2</w:t>
      </w:r>
    </w:p>
    <w:p w14:paraId="6A2A3D8F" w14:textId="7538CDAA" w:rsidR="00751823" w:rsidRDefault="00000000">
      <w:pPr>
        <w:pStyle w:val="3GPPHeader"/>
        <w:rPr>
          <w:sz w:val="22"/>
          <w:szCs w:val="22"/>
        </w:rPr>
      </w:pPr>
      <w:r>
        <w:rPr>
          <w:sz w:val="22"/>
          <w:szCs w:val="22"/>
        </w:rPr>
        <w:t>Source:</w:t>
      </w:r>
      <w:r>
        <w:rPr>
          <w:sz w:val="22"/>
          <w:szCs w:val="22"/>
        </w:rPr>
        <w:tab/>
      </w:r>
      <w:r w:rsidR="00C072F7" w:rsidRPr="00C072F7">
        <w:rPr>
          <w:sz w:val="22"/>
          <w:szCs w:val="22"/>
        </w:rPr>
        <w:t>Indian Institute of Tech (M)</w:t>
      </w:r>
      <w:r w:rsidR="00D10626">
        <w:rPr>
          <w:sz w:val="22"/>
          <w:szCs w:val="22"/>
        </w:rPr>
        <w:t xml:space="preserve">, </w:t>
      </w:r>
      <w:r w:rsidR="00C072F7" w:rsidRPr="00C072F7">
        <w:rPr>
          <w:sz w:val="22"/>
          <w:szCs w:val="22"/>
        </w:rPr>
        <w:t>CEWiT</w:t>
      </w:r>
    </w:p>
    <w:p w14:paraId="718884A4" w14:textId="77777777" w:rsidR="00751823" w:rsidRDefault="00000000">
      <w:pPr>
        <w:pStyle w:val="3GPPHeader"/>
        <w:rPr>
          <w:sz w:val="22"/>
          <w:szCs w:val="22"/>
        </w:rPr>
      </w:pPr>
      <w:r>
        <w:rPr>
          <w:sz w:val="22"/>
          <w:szCs w:val="22"/>
        </w:rPr>
        <w:t>Title:</w:t>
      </w:r>
      <w:r>
        <w:rPr>
          <w:sz w:val="22"/>
          <w:szCs w:val="22"/>
        </w:rPr>
        <w:tab/>
      </w:r>
      <w:r>
        <w:rPr>
          <w:kern w:val="2"/>
        </w:rPr>
        <w:t>Discussion on s</w:t>
      </w:r>
      <w:r>
        <w:rPr>
          <w:rFonts w:eastAsia="Malgun Gothic"/>
          <w:kern w:val="2"/>
          <w:lang w:eastAsia="ko-KR"/>
        </w:rPr>
        <w:t>ubband non-overlapping full duplex</w:t>
      </w:r>
    </w:p>
    <w:p w14:paraId="1D5584C9" w14:textId="77777777" w:rsidR="00751823" w:rsidRDefault="00000000">
      <w:pPr>
        <w:pStyle w:val="3GPPHeader"/>
        <w:rPr>
          <w:sz w:val="22"/>
          <w:szCs w:val="22"/>
        </w:rPr>
      </w:pPr>
      <w:r>
        <w:rPr>
          <w:sz w:val="22"/>
          <w:szCs w:val="22"/>
        </w:rPr>
        <w:t>Document for:</w:t>
      </w:r>
      <w:r>
        <w:rPr>
          <w:sz w:val="22"/>
          <w:szCs w:val="22"/>
        </w:rPr>
        <w:tab/>
        <w:t>Discussion</w:t>
      </w:r>
    </w:p>
    <w:p w14:paraId="74D3DA93" w14:textId="77777777" w:rsidR="00751823" w:rsidRDefault="00000000">
      <w:pPr>
        <w:pStyle w:val="Heading1"/>
        <w:numPr>
          <w:ilvl w:val="0"/>
          <w:numId w:val="2"/>
        </w:numPr>
      </w:pPr>
      <w:r>
        <w:t>Introduction</w:t>
      </w:r>
    </w:p>
    <w:p w14:paraId="7E752525" w14:textId="77777777" w:rsidR="00751823" w:rsidRDefault="00000000">
      <w:pPr>
        <w:jc w:val="both"/>
        <w:rPr>
          <w:color w:val="000000"/>
          <w:sz w:val="20"/>
          <w:szCs w:val="20"/>
          <w:lang w:eastAsia="en-IN"/>
        </w:rPr>
      </w:pPr>
      <w:r>
        <w:rPr>
          <w:color w:val="000000"/>
          <w:sz w:val="20"/>
          <w:szCs w:val="20"/>
          <w:lang w:eastAsia="en-IN"/>
        </w:rPr>
        <w:t>A new study item named ‘</w:t>
      </w:r>
      <w:r>
        <w:rPr>
          <w:kern w:val="2"/>
          <w:sz w:val="20"/>
          <w:szCs w:val="20"/>
        </w:rPr>
        <w:t>Discussion on s</w:t>
      </w:r>
      <w:r>
        <w:rPr>
          <w:rFonts w:eastAsia="Malgun Gothic"/>
          <w:kern w:val="2"/>
          <w:sz w:val="20"/>
          <w:szCs w:val="20"/>
          <w:lang w:eastAsia="ko-KR"/>
        </w:rPr>
        <w:t>ubband non-overlapping full duplex</w:t>
      </w:r>
      <w:r>
        <w:rPr>
          <w:color w:val="000000"/>
          <w:sz w:val="20"/>
          <w:szCs w:val="20"/>
          <w:lang w:eastAsia="en-IN"/>
        </w:rPr>
        <w:t xml:space="preserve">’, was approved to identify and evaluate the potential enhancements to support duplex evolution for NR TDD in the RAN#94 e-meeting. The main agenda is to identify applicable and relevant deployment scenarios and to </w:t>
      </w:r>
      <w:r>
        <w:rPr>
          <w:rFonts w:eastAsia="Malgun Gothic"/>
          <w:sz w:val="20"/>
          <w:szCs w:val="20"/>
          <w:lang w:eastAsia="ko-KR"/>
        </w:rPr>
        <w:t xml:space="preserve">study the subband non-overlapping full duplex and </w:t>
      </w:r>
      <w:bookmarkStart w:id="0" w:name="_Hlk89796625"/>
      <w:r>
        <w:rPr>
          <w:rFonts w:eastAsia="Malgun Gothic"/>
          <w:sz w:val="20"/>
          <w:szCs w:val="20"/>
          <w:lang w:eastAsia="ko-KR"/>
        </w:rPr>
        <w:t>potential enhancements on dynamic/flexible TDD</w:t>
      </w:r>
      <w:bookmarkEnd w:id="0"/>
      <w:r>
        <w:rPr>
          <w:rFonts w:eastAsia="Malgun Gothic"/>
          <w:sz w:val="20"/>
          <w:szCs w:val="20"/>
          <w:lang w:eastAsia="ko-KR"/>
        </w:rPr>
        <w:t>.</w:t>
      </w:r>
    </w:p>
    <w:p w14:paraId="6F1F046F" w14:textId="77777777" w:rsidR="00751823" w:rsidRDefault="00751823">
      <w:pPr>
        <w:pStyle w:val="0Maintext"/>
        <w:spacing w:after="120" w:afterAutospacing="0" w:line="240" w:lineRule="auto"/>
        <w:ind w:firstLine="0"/>
        <w:rPr>
          <w:lang w:val="en-US"/>
        </w:rPr>
      </w:pPr>
    </w:p>
    <w:p w14:paraId="13FA0A3E" w14:textId="77777777" w:rsidR="00751823" w:rsidRDefault="00000000">
      <w:pPr>
        <w:pStyle w:val="Heading1"/>
        <w:numPr>
          <w:ilvl w:val="0"/>
          <w:numId w:val="2"/>
        </w:numPr>
      </w:pPr>
      <w:r>
        <w:t>Discussion on SBFD</w:t>
      </w:r>
    </w:p>
    <w:p w14:paraId="7A679FFF" w14:textId="77777777" w:rsidR="00751823" w:rsidRDefault="00000000">
      <w:pPr>
        <w:rPr>
          <w:sz w:val="20"/>
          <w:szCs w:val="20"/>
        </w:rPr>
      </w:pPr>
      <w:r>
        <w:rPr>
          <w:sz w:val="20"/>
          <w:szCs w:val="20"/>
        </w:rPr>
        <w:t>Different agreements have been reached in previous meeting i.e., RAN1#111. Those agreements are summarized below.</w:t>
      </w:r>
    </w:p>
    <w:p w14:paraId="7471F1AB" w14:textId="77777777" w:rsidR="00751823" w:rsidRDefault="00751823">
      <w:pPr>
        <w:rPr>
          <w:sz w:val="20"/>
          <w:szCs w:val="20"/>
        </w:rPr>
      </w:pPr>
    </w:p>
    <w:tbl>
      <w:tblPr>
        <w:tblStyle w:val="TableGrid"/>
        <w:tblW w:w="9010" w:type="dxa"/>
        <w:tblLook w:val="04A0" w:firstRow="1" w:lastRow="0" w:firstColumn="1" w:lastColumn="0" w:noHBand="0" w:noVBand="1"/>
      </w:tblPr>
      <w:tblGrid>
        <w:gridCol w:w="9010"/>
      </w:tblGrid>
      <w:tr w:rsidR="00751823" w14:paraId="4BF3C1DC" w14:textId="77777777">
        <w:tc>
          <w:tcPr>
            <w:tcW w:w="9010" w:type="dxa"/>
          </w:tcPr>
          <w:p w14:paraId="52512D06" w14:textId="77777777" w:rsidR="00751823" w:rsidRDefault="00000000">
            <w:pPr>
              <w:pStyle w:val="NormalWeb"/>
              <w:spacing w:before="280" w:beforeAutospacing="0" w:after="280" w:afterAutospacing="0"/>
              <w:jc w:val="both"/>
              <w:rPr>
                <w:lang w:eastAsia="en-IN"/>
              </w:rPr>
            </w:pPr>
            <w:r>
              <w:rPr>
                <w:rFonts w:eastAsiaTheme="minorEastAsia"/>
                <w:b/>
                <w:bCs/>
                <w:color w:val="000000"/>
                <w:sz w:val="20"/>
                <w:szCs w:val="20"/>
                <w:shd w:val="clear" w:color="auto" w:fill="00FF00"/>
              </w:rPr>
              <w:t>Agreement</w:t>
            </w:r>
          </w:p>
          <w:p w14:paraId="0F391B6B" w14:textId="77777777" w:rsidR="00751823" w:rsidRDefault="00000000">
            <w:pPr>
              <w:pStyle w:val="NormalWeb"/>
              <w:spacing w:before="280" w:after="280"/>
              <w:rPr>
                <w:rFonts w:eastAsiaTheme="minorEastAsia"/>
              </w:rPr>
            </w:pPr>
            <w:r>
              <w:rPr>
                <w:rFonts w:eastAsiaTheme="minorEastAsia"/>
                <w:color w:val="000000"/>
                <w:sz w:val="20"/>
                <w:szCs w:val="20"/>
              </w:rPr>
              <w:t xml:space="preserve">For a SBFD aware UE semi-statically configured with UL subband in a SBFD symbol configured as DL in </w:t>
            </w:r>
            <w:r>
              <w:rPr>
                <w:rFonts w:eastAsiaTheme="minorEastAsia"/>
                <w:i/>
                <w:iCs/>
                <w:color w:val="000000"/>
                <w:sz w:val="20"/>
                <w:szCs w:val="20"/>
              </w:rPr>
              <w:t>TDD-UL-DL-ConfigCommon</w:t>
            </w:r>
            <w:r>
              <w:rPr>
                <w:rFonts w:eastAsiaTheme="minorEastAsia"/>
                <w:color w:val="000000"/>
                <w:sz w:val="20"/>
                <w:szCs w:val="20"/>
              </w:rPr>
              <w:t>, the following is agreed as baseline in the RAN1 study:</w:t>
            </w:r>
          </w:p>
          <w:p w14:paraId="1CDDA25A" w14:textId="77777777" w:rsidR="00751823" w:rsidRDefault="00000000">
            <w:pPr>
              <w:pStyle w:val="NormalWeb"/>
              <w:numPr>
                <w:ilvl w:val="0"/>
                <w:numId w:val="3"/>
              </w:numPr>
              <w:spacing w:before="280" w:beforeAutospacing="0" w:afterAutospacing="0"/>
              <w:textAlignment w:val="baseline"/>
              <w:rPr>
                <w:color w:val="000000"/>
                <w:sz w:val="20"/>
                <w:szCs w:val="20"/>
              </w:rPr>
            </w:pPr>
            <w:r>
              <w:rPr>
                <w:rFonts w:eastAsiaTheme="minorEastAsia"/>
                <w:color w:val="000000"/>
                <w:sz w:val="20"/>
                <w:szCs w:val="20"/>
                <w:lang w:val="en-US" w:eastAsia="zh-CN"/>
              </w:rPr>
              <w:t>UL transmissions within UL subband are allowed in the symbol</w:t>
            </w:r>
          </w:p>
          <w:p w14:paraId="7DAA1F4C" w14:textId="77777777" w:rsidR="00751823" w:rsidRDefault="00000000">
            <w:pPr>
              <w:pStyle w:val="NormalWeb"/>
              <w:numPr>
                <w:ilvl w:val="0"/>
                <w:numId w:val="3"/>
              </w:numPr>
              <w:spacing w:before="280" w:beforeAutospacing="0" w:afterAutospacing="0"/>
              <w:textAlignment w:val="baseline"/>
              <w:rPr>
                <w:color w:val="000000"/>
                <w:sz w:val="20"/>
                <w:szCs w:val="20"/>
              </w:rPr>
            </w:pPr>
            <w:r>
              <w:rPr>
                <w:rFonts w:eastAsiaTheme="minorEastAsia"/>
                <w:color w:val="000000"/>
                <w:sz w:val="20"/>
                <w:szCs w:val="20"/>
                <w:lang w:val="en-US" w:eastAsia="zh-CN"/>
              </w:rPr>
              <w:t>UL transmissions outside UL subband are not allowed in the symbol</w:t>
            </w:r>
          </w:p>
          <w:p w14:paraId="027FA731" w14:textId="77777777" w:rsidR="00751823" w:rsidRDefault="00000000">
            <w:pPr>
              <w:pStyle w:val="NormalWeb"/>
              <w:numPr>
                <w:ilvl w:val="0"/>
                <w:numId w:val="3"/>
              </w:numPr>
              <w:spacing w:before="280" w:after="280"/>
              <w:textAlignment w:val="baseline"/>
              <w:rPr>
                <w:color w:val="000000"/>
                <w:sz w:val="20"/>
                <w:szCs w:val="20"/>
              </w:rPr>
            </w:pPr>
            <w:r>
              <w:rPr>
                <w:rFonts w:eastAsiaTheme="minorEastAsia"/>
                <w:color w:val="000000"/>
                <w:sz w:val="20"/>
                <w:szCs w:val="20"/>
                <w:lang w:val="en-US" w:eastAsia="zh-CN"/>
              </w:rPr>
              <w:t>Frequency locations of DL subband(s) are known to the SBFD aware UE</w:t>
            </w:r>
          </w:p>
          <w:p w14:paraId="763DAA96" w14:textId="77777777" w:rsidR="00751823" w:rsidRDefault="00000000">
            <w:pPr>
              <w:pStyle w:val="NormalWeb"/>
              <w:numPr>
                <w:ilvl w:val="1"/>
                <w:numId w:val="17"/>
              </w:numPr>
              <w:spacing w:before="280" w:after="280"/>
              <w:textAlignment w:val="baseline"/>
              <w:rPr>
                <w:color w:val="000000"/>
                <w:sz w:val="20"/>
                <w:szCs w:val="20"/>
              </w:rPr>
            </w:pPr>
            <w:r>
              <w:rPr>
                <w:rFonts w:eastAsiaTheme="minorEastAsia"/>
                <w:color w:val="000000"/>
                <w:sz w:val="20"/>
                <w:szCs w:val="20"/>
                <w:lang w:val="en-US" w:eastAsia="zh-CN"/>
              </w:rPr>
              <w:t>The frequency location of DL subband(s) can be explicitly indicated or implicitly derived</w:t>
            </w:r>
          </w:p>
          <w:p w14:paraId="36C627A5" w14:textId="77777777" w:rsidR="00751823" w:rsidRDefault="00000000">
            <w:pPr>
              <w:pStyle w:val="NormalWeb"/>
              <w:numPr>
                <w:ilvl w:val="0"/>
                <w:numId w:val="18"/>
              </w:numPr>
              <w:spacing w:before="280" w:after="280"/>
              <w:textAlignment w:val="baseline"/>
              <w:rPr>
                <w:color w:val="000000"/>
                <w:sz w:val="20"/>
                <w:szCs w:val="20"/>
              </w:rPr>
            </w:pPr>
            <w:r>
              <w:rPr>
                <w:rFonts w:eastAsiaTheme="minorEastAsia"/>
                <w:color w:val="000000"/>
                <w:sz w:val="20"/>
                <w:szCs w:val="20"/>
                <w:lang w:val="en-US" w:eastAsia="zh-CN"/>
              </w:rPr>
              <w:t>DL receptions within DL subband(s) are allowed in the symbol</w:t>
            </w:r>
          </w:p>
          <w:p w14:paraId="6AEBA5C1" w14:textId="77777777" w:rsidR="00751823" w:rsidRDefault="00000000">
            <w:pPr>
              <w:pStyle w:val="NormalWeb"/>
              <w:numPr>
                <w:ilvl w:val="0"/>
                <w:numId w:val="19"/>
              </w:numPr>
              <w:spacing w:before="280" w:after="280"/>
              <w:textAlignment w:val="baseline"/>
              <w:rPr>
                <w:color w:val="000000"/>
                <w:sz w:val="20"/>
                <w:szCs w:val="20"/>
              </w:rPr>
            </w:pPr>
            <w:r>
              <w:rPr>
                <w:rFonts w:eastAsiaTheme="minorEastAsia"/>
                <w:color w:val="000000"/>
                <w:sz w:val="20"/>
                <w:szCs w:val="20"/>
                <w:lang w:val="en-US" w:eastAsia="zh-CN"/>
              </w:rPr>
              <w:t>Note: UL transmissions are within active UL BWP and DL receptions are within active DL BWP in the symbol</w:t>
            </w:r>
          </w:p>
          <w:p w14:paraId="6D42BB85" w14:textId="77777777" w:rsidR="00751823" w:rsidRDefault="00000000">
            <w:pPr>
              <w:pStyle w:val="NormalWeb"/>
              <w:spacing w:before="280" w:after="280"/>
              <w:jc w:val="both"/>
              <w:rPr>
                <w:rFonts w:eastAsiaTheme="minorEastAsia"/>
              </w:rPr>
            </w:pPr>
            <w:r>
              <w:rPr>
                <w:rFonts w:eastAsiaTheme="minorEastAsia"/>
                <w:b/>
                <w:bCs/>
                <w:color w:val="000000"/>
                <w:sz w:val="20"/>
                <w:szCs w:val="20"/>
                <w:shd w:val="clear" w:color="auto" w:fill="00FF00"/>
              </w:rPr>
              <w:t>Agreement</w:t>
            </w:r>
          </w:p>
          <w:p w14:paraId="3420D86D" w14:textId="77777777" w:rsidR="00751823" w:rsidRDefault="00000000">
            <w:pPr>
              <w:pStyle w:val="NormalWeb"/>
              <w:spacing w:before="280" w:after="280"/>
              <w:jc w:val="both"/>
              <w:rPr>
                <w:rFonts w:eastAsiaTheme="minorEastAsia"/>
              </w:rPr>
            </w:pPr>
            <w:r>
              <w:rPr>
                <w:rFonts w:eastAsiaTheme="minorEastAsia"/>
                <w:color w:val="000000"/>
                <w:sz w:val="20"/>
                <w:szCs w:val="20"/>
              </w:rPr>
              <w:t>For the purpose of RAN1 study, the understanding is that for semi-static configuration of subband frequency locations for SBFD operation, frequency location of UL/DL subband is with reference to CRB grid.</w:t>
            </w:r>
          </w:p>
          <w:p w14:paraId="6B1B91DB" w14:textId="77777777" w:rsidR="00751823" w:rsidRDefault="00000000">
            <w:pPr>
              <w:pStyle w:val="NormalWeb"/>
              <w:spacing w:before="280" w:after="280"/>
              <w:rPr>
                <w:rFonts w:eastAsiaTheme="minorEastAsia"/>
              </w:rPr>
            </w:pPr>
            <w:r>
              <w:rPr>
                <w:rFonts w:eastAsiaTheme="minorEastAsia"/>
                <w:b/>
                <w:bCs/>
                <w:color w:val="000000"/>
                <w:sz w:val="20"/>
                <w:szCs w:val="20"/>
                <w:shd w:val="clear" w:color="auto" w:fill="00FF00"/>
              </w:rPr>
              <w:t>Agreement</w:t>
            </w:r>
          </w:p>
          <w:p w14:paraId="1BB76A9C" w14:textId="77777777" w:rsidR="00751823" w:rsidRDefault="00000000">
            <w:pPr>
              <w:pStyle w:val="NormalWeb"/>
              <w:spacing w:before="280" w:after="280"/>
              <w:rPr>
                <w:rFonts w:eastAsiaTheme="minorEastAsia"/>
              </w:rPr>
            </w:pPr>
            <w:r>
              <w:rPr>
                <w:rFonts w:eastAsiaTheme="minorEastAsia"/>
                <w:color w:val="000000"/>
                <w:sz w:val="20"/>
                <w:szCs w:val="20"/>
              </w:rPr>
              <w:t>Study impact and potential enhancements for UL transmissions and DL receptions across SBFD symbols and non-SBFD symbols, including at least the following:</w:t>
            </w:r>
          </w:p>
          <w:p w14:paraId="66819373" w14:textId="77777777" w:rsidR="00751823" w:rsidRDefault="00000000">
            <w:pPr>
              <w:pStyle w:val="NormalWeb"/>
              <w:numPr>
                <w:ilvl w:val="0"/>
                <w:numId w:val="4"/>
              </w:numPr>
              <w:spacing w:before="280" w:beforeAutospacing="0" w:afterAutospacing="0"/>
              <w:textAlignment w:val="baseline"/>
              <w:rPr>
                <w:color w:val="000000"/>
                <w:sz w:val="20"/>
                <w:szCs w:val="20"/>
              </w:rPr>
            </w:pPr>
            <w:r>
              <w:rPr>
                <w:rFonts w:eastAsiaTheme="minorEastAsia"/>
                <w:color w:val="000000"/>
                <w:sz w:val="20"/>
                <w:szCs w:val="20"/>
                <w:lang w:val="en-US" w:eastAsia="zh-CN"/>
              </w:rPr>
              <w:t>PDCCH, scheduled/configured PUCCH/PUSCH/PDSCH, without repetition in SBFD symbols and non-SBFD symbols</w:t>
            </w:r>
          </w:p>
          <w:p w14:paraId="14028623" w14:textId="77777777" w:rsidR="00751823" w:rsidRDefault="00000000">
            <w:pPr>
              <w:pStyle w:val="NormalWeb"/>
              <w:numPr>
                <w:ilvl w:val="0"/>
                <w:numId w:val="4"/>
              </w:numPr>
              <w:spacing w:before="280" w:beforeAutospacing="0" w:afterAutospacing="0"/>
              <w:textAlignment w:val="baseline"/>
              <w:rPr>
                <w:color w:val="000000"/>
                <w:sz w:val="20"/>
                <w:szCs w:val="20"/>
              </w:rPr>
            </w:pPr>
            <w:r>
              <w:rPr>
                <w:rFonts w:eastAsiaTheme="minorEastAsia"/>
                <w:color w:val="000000"/>
                <w:sz w:val="20"/>
                <w:szCs w:val="20"/>
                <w:lang w:val="en-US" w:eastAsia="zh-CN"/>
              </w:rPr>
              <w:t>Scheduled/configured SRS/CSI-RS in SBFD symbols and non-SBFD symbols</w:t>
            </w:r>
          </w:p>
          <w:p w14:paraId="3FE09AA5" w14:textId="77777777" w:rsidR="00751823" w:rsidRDefault="00000000">
            <w:pPr>
              <w:pStyle w:val="NormalWeb"/>
              <w:numPr>
                <w:ilvl w:val="0"/>
                <w:numId w:val="4"/>
              </w:numPr>
              <w:spacing w:before="280" w:beforeAutospacing="0" w:afterAutospacing="0"/>
              <w:textAlignment w:val="baseline"/>
              <w:rPr>
                <w:color w:val="000000"/>
                <w:sz w:val="20"/>
                <w:szCs w:val="20"/>
              </w:rPr>
            </w:pPr>
            <w:r>
              <w:rPr>
                <w:rFonts w:eastAsiaTheme="minorEastAsia"/>
                <w:color w:val="000000"/>
                <w:sz w:val="20"/>
                <w:szCs w:val="20"/>
                <w:lang w:val="en-US" w:eastAsia="zh-CN"/>
              </w:rPr>
              <w:lastRenderedPageBreak/>
              <w:t>Scheduled/configured TBoMS across SBFD symbols and non-SBFD symbols with or without repetition</w:t>
            </w:r>
          </w:p>
          <w:p w14:paraId="2699930B" w14:textId="77777777" w:rsidR="00751823" w:rsidRDefault="00000000">
            <w:pPr>
              <w:pStyle w:val="NormalWeb"/>
              <w:numPr>
                <w:ilvl w:val="0"/>
                <w:numId w:val="4"/>
              </w:numPr>
              <w:spacing w:before="280" w:beforeAutospacing="0" w:afterAutospacing="0"/>
              <w:textAlignment w:val="baseline"/>
              <w:rPr>
                <w:color w:val="000000"/>
                <w:sz w:val="20"/>
                <w:szCs w:val="20"/>
              </w:rPr>
            </w:pPr>
            <w:r>
              <w:rPr>
                <w:rFonts w:eastAsiaTheme="minorEastAsia"/>
                <w:color w:val="000000"/>
                <w:sz w:val="20"/>
                <w:szCs w:val="20"/>
                <w:lang w:val="en-US" w:eastAsia="zh-CN"/>
              </w:rPr>
              <w:t>Multi-PUSCH/PDSCH scheduled by a single DCI in SBFD symbols and non-SBFD symbols</w:t>
            </w:r>
          </w:p>
          <w:p w14:paraId="6CAAE46F" w14:textId="77777777" w:rsidR="00751823" w:rsidRDefault="00000000">
            <w:pPr>
              <w:pStyle w:val="NormalWeb"/>
              <w:numPr>
                <w:ilvl w:val="0"/>
                <w:numId w:val="4"/>
              </w:numPr>
              <w:spacing w:before="280" w:after="280"/>
              <w:textAlignment w:val="baseline"/>
              <w:rPr>
                <w:color w:val="000000"/>
                <w:sz w:val="20"/>
                <w:szCs w:val="20"/>
              </w:rPr>
            </w:pPr>
            <w:r>
              <w:rPr>
                <w:rFonts w:eastAsiaTheme="minorEastAsia"/>
                <w:color w:val="000000"/>
                <w:sz w:val="20"/>
                <w:szCs w:val="20"/>
                <w:lang w:val="en-US" w:eastAsia="zh-CN"/>
              </w:rPr>
              <w:t>Scheduled/configured PDSCH/PUSCH/PUCCH with repetitions across SBFD symbols and non-SBFD symbols</w:t>
            </w:r>
          </w:p>
          <w:p w14:paraId="730A758D" w14:textId="77777777" w:rsidR="00751823" w:rsidRDefault="00000000">
            <w:pPr>
              <w:pStyle w:val="NormalWeb"/>
              <w:spacing w:before="280" w:after="280"/>
              <w:rPr>
                <w:rFonts w:eastAsiaTheme="minorEastAsia"/>
              </w:rPr>
            </w:pPr>
            <w:r>
              <w:rPr>
                <w:rFonts w:eastAsiaTheme="minorEastAsia"/>
                <w:color w:val="000000"/>
                <w:sz w:val="20"/>
                <w:szCs w:val="20"/>
              </w:rPr>
              <w:t>Note: Inter-slot/intra-slot/inter-repetition/inter-group frequency hopping with DMRS bundling of PUSCH/PUCCH, if applicable, is considered.</w:t>
            </w:r>
          </w:p>
          <w:p w14:paraId="734C8C8B" w14:textId="77777777" w:rsidR="00751823" w:rsidRDefault="00000000">
            <w:pPr>
              <w:pStyle w:val="NormalWeb"/>
              <w:spacing w:before="280" w:after="280"/>
              <w:rPr>
                <w:rFonts w:eastAsiaTheme="minorEastAsia"/>
              </w:rPr>
            </w:pPr>
            <w:r>
              <w:rPr>
                <w:rFonts w:eastAsiaTheme="minorEastAsia"/>
                <w:color w:val="000000"/>
                <w:sz w:val="20"/>
                <w:szCs w:val="20"/>
              </w:rPr>
              <w:t>Examples of potential enhancements include:</w:t>
            </w:r>
          </w:p>
          <w:p w14:paraId="5AB8A71B" w14:textId="77777777" w:rsidR="00751823" w:rsidRDefault="00000000">
            <w:pPr>
              <w:pStyle w:val="NormalWeb"/>
              <w:numPr>
                <w:ilvl w:val="0"/>
                <w:numId w:val="5"/>
              </w:numPr>
              <w:spacing w:before="280" w:beforeAutospacing="0" w:afterAutospacing="0"/>
              <w:textAlignment w:val="baseline"/>
              <w:rPr>
                <w:color w:val="000000"/>
                <w:sz w:val="20"/>
                <w:szCs w:val="20"/>
              </w:rPr>
            </w:pPr>
            <w:r>
              <w:rPr>
                <w:rFonts w:eastAsiaTheme="minorEastAsia"/>
                <w:color w:val="000000"/>
                <w:sz w:val="20"/>
                <w:szCs w:val="20"/>
                <w:lang w:val="en-US" w:eastAsia="zh-CN"/>
              </w:rPr>
              <w:t>Resource allocation in frequency domain including frequency hopping</w:t>
            </w:r>
          </w:p>
          <w:p w14:paraId="78EFA553" w14:textId="77777777" w:rsidR="00751823" w:rsidRDefault="00000000">
            <w:pPr>
              <w:pStyle w:val="NormalWeb"/>
              <w:numPr>
                <w:ilvl w:val="0"/>
                <w:numId w:val="5"/>
              </w:numPr>
              <w:spacing w:before="280" w:beforeAutospacing="0" w:afterAutospacing="0"/>
              <w:textAlignment w:val="baseline"/>
              <w:rPr>
                <w:color w:val="000000"/>
                <w:sz w:val="20"/>
                <w:szCs w:val="20"/>
              </w:rPr>
            </w:pPr>
            <w:r>
              <w:rPr>
                <w:rFonts w:eastAsiaTheme="minorEastAsia"/>
                <w:color w:val="000000"/>
                <w:sz w:val="20"/>
                <w:szCs w:val="20"/>
                <w:lang w:val="en-US" w:eastAsia="zh-CN"/>
              </w:rPr>
              <w:t>Resource allocation in time domain</w:t>
            </w:r>
          </w:p>
          <w:p w14:paraId="1CA65E49" w14:textId="77777777" w:rsidR="00751823" w:rsidRDefault="00000000">
            <w:pPr>
              <w:pStyle w:val="NormalWeb"/>
              <w:numPr>
                <w:ilvl w:val="0"/>
                <w:numId w:val="5"/>
              </w:numPr>
              <w:spacing w:before="280" w:beforeAutospacing="0" w:afterAutospacing="0"/>
              <w:textAlignment w:val="baseline"/>
              <w:rPr>
                <w:color w:val="000000"/>
                <w:sz w:val="20"/>
                <w:szCs w:val="20"/>
              </w:rPr>
            </w:pPr>
            <w:r>
              <w:rPr>
                <w:rFonts w:eastAsiaTheme="minorEastAsia"/>
                <w:color w:val="000000"/>
                <w:sz w:val="20"/>
                <w:szCs w:val="20"/>
                <w:lang w:val="en-US" w:eastAsia="zh-CN"/>
              </w:rPr>
              <w:t>Power domain</w:t>
            </w:r>
          </w:p>
          <w:p w14:paraId="357BD72F" w14:textId="77777777" w:rsidR="00751823" w:rsidRDefault="00000000">
            <w:pPr>
              <w:pStyle w:val="NormalWeb"/>
              <w:numPr>
                <w:ilvl w:val="0"/>
                <w:numId w:val="5"/>
              </w:numPr>
              <w:spacing w:before="280" w:after="280"/>
              <w:textAlignment w:val="baseline"/>
              <w:rPr>
                <w:color w:val="000000"/>
                <w:sz w:val="20"/>
                <w:szCs w:val="20"/>
              </w:rPr>
            </w:pPr>
            <w:r>
              <w:rPr>
                <w:rFonts w:eastAsiaTheme="minorEastAsia"/>
                <w:color w:val="000000"/>
                <w:sz w:val="20"/>
                <w:szCs w:val="20"/>
                <w:lang w:val="en-US" w:eastAsia="zh-CN"/>
              </w:rPr>
              <w:t>Spatial domain </w:t>
            </w:r>
          </w:p>
          <w:p w14:paraId="6AFAF68B" w14:textId="77777777" w:rsidR="00751823" w:rsidRDefault="00000000">
            <w:pPr>
              <w:pStyle w:val="NormalWeb"/>
              <w:spacing w:before="280" w:beforeAutospacing="0" w:after="120" w:afterAutospacing="0"/>
              <w:rPr>
                <w:rFonts w:eastAsiaTheme="minorEastAsia"/>
              </w:rPr>
            </w:pPr>
            <w:r>
              <w:rPr>
                <w:rFonts w:eastAsiaTheme="minorEastAsia"/>
                <w:b/>
                <w:bCs/>
                <w:color w:val="000000"/>
                <w:sz w:val="20"/>
                <w:szCs w:val="20"/>
                <w:shd w:val="clear" w:color="auto" w:fill="00FF00"/>
              </w:rPr>
              <w:t>Agreement</w:t>
            </w:r>
          </w:p>
          <w:p w14:paraId="38D135D9" w14:textId="77777777" w:rsidR="00751823" w:rsidRDefault="00000000">
            <w:pPr>
              <w:pStyle w:val="NormalWeb"/>
              <w:spacing w:before="280" w:after="280"/>
              <w:rPr>
                <w:rFonts w:eastAsiaTheme="minorEastAsia"/>
              </w:rPr>
            </w:pPr>
            <w:r>
              <w:rPr>
                <w:rFonts w:eastAsiaTheme="minorEastAsia"/>
                <w:color w:val="000000"/>
                <w:sz w:val="20"/>
                <w:szCs w:val="20"/>
              </w:rPr>
              <w:t xml:space="preserve">For SBFD operation in a symbol configured as flexible in </w:t>
            </w:r>
            <w:r>
              <w:rPr>
                <w:rFonts w:eastAsiaTheme="minorEastAsia"/>
                <w:i/>
                <w:iCs/>
                <w:color w:val="000000"/>
                <w:sz w:val="20"/>
                <w:szCs w:val="20"/>
              </w:rPr>
              <w:t>TDD-UL-DL-ConfigCommon</w:t>
            </w:r>
            <w:r>
              <w:rPr>
                <w:rFonts w:eastAsiaTheme="minorEastAsia"/>
                <w:color w:val="000000"/>
                <w:sz w:val="20"/>
                <w:szCs w:val="20"/>
              </w:rPr>
              <w:t>, study the following options for SBFD aware UEs,</w:t>
            </w:r>
          </w:p>
          <w:p w14:paraId="4D0B8958" w14:textId="77777777" w:rsidR="00751823" w:rsidRDefault="00000000">
            <w:pPr>
              <w:pStyle w:val="NormalWeb"/>
              <w:spacing w:before="280" w:after="280"/>
              <w:rPr>
                <w:rFonts w:eastAsiaTheme="minorEastAsia"/>
              </w:rPr>
            </w:pPr>
            <w:r>
              <w:rPr>
                <w:rFonts w:eastAsiaTheme="minorEastAsia"/>
                <w:color w:val="000000"/>
                <w:sz w:val="20"/>
                <w:szCs w:val="20"/>
              </w:rPr>
              <w:t>Option 1: </w:t>
            </w:r>
          </w:p>
          <w:p w14:paraId="4EA0C1B2" w14:textId="77777777" w:rsidR="00751823" w:rsidRDefault="00000000">
            <w:pPr>
              <w:pStyle w:val="NormalWeb"/>
              <w:numPr>
                <w:ilvl w:val="0"/>
                <w:numId w:val="6"/>
              </w:numPr>
              <w:spacing w:before="280" w:beforeAutospacing="0" w:afterAutospacing="0"/>
              <w:textAlignment w:val="baseline"/>
              <w:rPr>
                <w:rFonts w:ascii="Arial" w:hAnsi="Arial" w:cs="Arial"/>
                <w:color w:val="000000"/>
                <w:sz w:val="20"/>
                <w:szCs w:val="20"/>
              </w:rPr>
            </w:pPr>
            <w:r>
              <w:rPr>
                <w:rFonts w:eastAsiaTheme="minorEastAsia"/>
                <w:color w:val="000000"/>
                <w:sz w:val="20"/>
                <w:szCs w:val="20"/>
                <w:lang w:val="en-US" w:eastAsia="zh-CN"/>
              </w:rPr>
              <w:t>UL transmissions within UL subband are allowed in the symbol</w:t>
            </w:r>
          </w:p>
          <w:p w14:paraId="0833A382" w14:textId="77777777" w:rsidR="00751823" w:rsidRDefault="00000000">
            <w:pPr>
              <w:pStyle w:val="NormalWeb"/>
              <w:numPr>
                <w:ilvl w:val="0"/>
                <w:numId w:val="6"/>
              </w:numPr>
              <w:spacing w:before="280" w:beforeAutospacing="0" w:afterAutospacing="0"/>
              <w:textAlignment w:val="baseline"/>
              <w:rPr>
                <w:rFonts w:ascii="Arial" w:hAnsi="Arial" w:cs="Arial"/>
                <w:color w:val="000000"/>
                <w:sz w:val="20"/>
                <w:szCs w:val="20"/>
              </w:rPr>
            </w:pPr>
            <w:r>
              <w:rPr>
                <w:rFonts w:eastAsiaTheme="minorEastAsia"/>
                <w:color w:val="000000"/>
                <w:sz w:val="20"/>
                <w:szCs w:val="20"/>
                <w:lang w:val="en-US" w:eastAsia="zh-CN"/>
              </w:rPr>
              <w:t>UL transmissions outside UL subband are not allowed in the symbol</w:t>
            </w:r>
          </w:p>
          <w:p w14:paraId="40145D89" w14:textId="77777777" w:rsidR="00751823" w:rsidRDefault="00000000">
            <w:pPr>
              <w:pStyle w:val="NormalWeb"/>
              <w:numPr>
                <w:ilvl w:val="0"/>
                <w:numId w:val="6"/>
              </w:numPr>
              <w:spacing w:before="280" w:beforeAutospacing="0" w:afterAutospacing="0"/>
              <w:textAlignment w:val="baseline"/>
              <w:rPr>
                <w:rFonts w:ascii="Arial" w:hAnsi="Arial" w:cs="Arial"/>
                <w:color w:val="000000"/>
                <w:sz w:val="20"/>
                <w:szCs w:val="20"/>
              </w:rPr>
            </w:pPr>
            <w:r>
              <w:rPr>
                <w:rFonts w:eastAsiaTheme="minorEastAsia"/>
                <w:color w:val="000000"/>
                <w:sz w:val="20"/>
                <w:szCs w:val="20"/>
                <w:lang w:val="en-US" w:eastAsia="zh-CN"/>
              </w:rPr>
              <w:t>Frequency locations of DL subband(s) are known to the SBFD aware UE</w:t>
            </w:r>
          </w:p>
          <w:p w14:paraId="68552A28" w14:textId="77777777" w:rsidR="00751823" w:rsidRDefault="00000000">
            <w:pPr>
              <w:pStyle w:val="NormalWeb"/>
              <w:numPr>
                <w:ilvl w:val="0"/>
                <w:numId w:val="6"/>
              </w:numPr>
              <w:spacing w:before="280" w:beforeAutospacing="0" w:afterAutospacing="0"/>
              <w:textAlignment w:val="baseline"/>
              <w:rPr>
                <w:rFonts w:ascii="Arial" w:hAnsi="Arial" w:cs="Arial"/>
                <w:color w:val="000000"/>
                <w:sz w:val="20"/>
                <w:szCs w:val="20"/>
              </w:rPr>
            </w:pPr>
            <w:r>
              <w:rPr>
                <w:rFonts w:eastAsiaTheme="minorEastAsia"/>
                <w:color w:val="000000"/>
                <w:sz w:val="20"/>
                <w:szCs w:val="20"/>
                <w:lang w:val="en-US" w:eastAsia="zh-CN"/>
              </w:rPr>
              <w:t>DL receptions within DL subband(s) are allowed in the symbol</w:t>
            </w:r>
          </w:p>
          <w:p w14:paraId="263F351F" w14:textId="77777777" w:rsidR="00751823" w:rsidRDefault="00000000">
            <w:pPr>
              <w:pStyle w:val="NormalWeb"/>
              <w:numPr>
                <w:ilvl w:val="0"/>
                <w:numId w:val="6"/>
              </w:numPr>
              <w:spacing w:before="280" w:after="280"/>
              <w:textAlignment w:val="baseline"/>
              <w:rPr>
                <w:rFonts w:ascii="Arial" w:hAnsi="Arial" w:cs="Arial"/>
                <w:color w:val="000000"/>
                <w:sz w:val="20"/>
                <w:szCs w:val="20"/>
              </w:rPr>
            </w:pPr>
            <w:r>
              <w:rPr>
                <w:rFonts w:eastAsiaTheme="minorEastAsia"/>
                <w:color w:val="000000"/>
                <w:sz w:val="20"/>
                <w:szCs w:val="20"/>
                <w:lang w:val="en-US" w:eastAsia="zh-CN"/>
              </w:rPr>
              <w:t>FFS: Whether DL receptions outside DL subband(s) are allowed or not in the symbol</w:t>
            </w:r>
          </w:p>
          <w:p w14:paraId="61E5B203" w14:textId="77777777" w:rsidR="00751823" w:rsidRDefault="00000000">
            <w:pPr>
              <w:pStyle w:val="NormalWeb"/>
              <w:spacing w:before="280" w:after="280"/>
              <w:rPr>
                <w:rFonts w:eastAsiaTheme="minorEastAsia"/>
              </w:rPr>
            </w:pPr>
            <w:r>
              <w:rPr>
                <w:rFonts w:eastAsiaTheme="minorEastAsia"/>
                <w:color w:val="000000"/>
                <w:sz w:val="20"/>
                <w:szCs w:val="20"/>
              </w:rPr>
              <w:t>Option 2: </w:t>
            </w:r>
          </w:p>
          <w:p w14:paraId="43EB0F6E" w14:textId="77777777" w:rsidR="00751823" w:rsidRDefault="00000000">
            <w:pPr>
              <w:pStyle w:val="NormalWeb"/>
              <w:numPr>
                <w:ilvl w:val="0"/>
                <w:numId w:val="7"/>
              </w:numPr>
              <w:spacing w:before="280" w:beforeAutospacing="0" w:afterAutospacing="0"/>
              <w:textAlignment w:val="baseline"/>
              <w:rPr>
                <w:rFonts w:ascii="Arial" w:hAnsi="Arial" w:cs="Arial"/>
                <w:color w:val="000000"/>
                <w:sz w:val="20"/>
                <w:szCs w:val="20"/>
              </w:rPr>
            </w:pPr>
            <w:r>
              <w:rPr>
                <w:rFonts w:eastAsiaTheme="minorEastAsia"/>
                <w:color w:val="000000"/>
                <w:sz w:val="20"/>
                <w:szCs w:val="20"/>
                <w:lang w:val="en-US" w:eastAsia="zh-CN"/>
              </w:rPr>
              <w:t>UL transmissions within UL subband are allowed in the symbol</w:t>
            </w:r>
          </w:p>
          <w:p w14:paraId="2BBBCFD8" w14:textId="77777777" w:rsidR="00751823" w:rsidRDefault="00000000">
            <w:pPr>
              <w:pStyle w:val="NormalWeb"/>
              <w:numPr>
                <w:ilvl w:val="0"/>
                <w:numId w:val="7"/>
              </w:numPr>
              <w:spacing w:before="280" w:after="280"/>
              <w:textAlignment w:val="baseline"/>
              <w:rPr>
                <w:rFonts w:ascii="Arial" w:hAnsi="Arial" w:cs="Arial"/>
                <w:color w:val="000000"/>
                <w:sz w:val="20"/>
                <w:szCs w:val="20"/>
              </w:rPr>
            </w:pPr>
            <w:r>
              <w:rPr>
                <w:rFonts w:eastAsiaTheme="minorEastAsia"/>
                <w:color w:val="000000"/>
                <w:sz w:val="20"/>
                <w:szCs w:val="20"/>
                <w:lang w:val="en-US" w:eastAsia="zh-CN"/>
              </w:rPr>
              <w:t>The RBs outside the UL subband can be used as either UL, or DL excluding guardband(s) if used, in the symbol from gNB’s perspective, and the transmission direction for all those RBs is the same</w:t>
            </w:r>
          </w:p>
          <w:p w14:paraId="5F2165FC" w14:textId="77777777" w:rsidR="00751823" w:rsidRDefault="00000000">
            <w:pPr>
              <w:pStyle w:val="NormalWeb"/>
              <w:numPr>
                <w:ilvl w:val="1"/>
                <w:numId w:val="20"/>
              </w:numPr>
              <w:spacing w:before="280" w:after="280"/>
              <w:textAlignment w:val="baseline"/>
              <w:rPr>
                <w:rFonts w:ascii="Courier New" w:hAnsi="Courier New" w:cs="Courier New"/>
                <w:color w:val="000000"/>
                <w:sz w:val="20"/>
                <w:szCs w:val="20"/>
              </w:rPr>
            </w:pPr>
            <w:r>
              <w:rPr>
                <w:rFonts w:eastAsiaTheme="minorEastAsia"/>
                <w:color w:val="000000"/>
                <w:sz w:val="20"/>
                <w:szCs w:val="20"/>
                <w:lang w:val="en-US" w:eastAsia="zh-CN"/>
              </w:rPr>
              <w:t>FFS: SBFD aware UE behaviours</w:t>
            </w:r>
          </w:p>
          <w:p w14:paraId="1F52708E" w14:textId="77777777" w:rsidR="00751823" w:rsidRDefault="00000000">
            <w:pPr>
              <w:pStyle w:val="NormalWeb"/>
              <w:numPr>
                <w:ilvl w:val="1"/>
                <w:numId w:val="21"/>
              </w:numPr>
              <w:spacing w:before="280" w:after="280"/>
              <w:textAlignment w:val="baseline"/>
              <w:rPr>
                <w:rFonts w:ascii="Courier New" w:hAnsi="Courier New" w:cs="Courier New"/>
                <w:color w:val="000000"/>
                <w:sz w:val="20"/>
                <w:szCs w:val="20"/>
              </w:rPr>
            </w:pPr>
            <w:r>
              <w:rPr>
                <w:rFonts w:eastAsiaTheme="minorEastAsia"/>
                <w:color w:val="000000"/>
                <w:sz w:val="20"/>
                <w:szCs w:val="20"/>
                <w:lang w:val="en-US" w:eastAsia="zh-CN"/>
              </w:rPr>
              <w:t>FFS: Whether or not signalling of guardband(s) is needed</w:t>
            </w:r>
          </w:p>
          <w:p w14:paraId="38B4C2AA" w14:textId="77777777" w:rsidR="00751823" w:rsidRDefault="00000000">
            <w:pPr>
              <w:pStyle w:val="NormalWeb"/>
              <w:numPr>
                <w:ilvl w:val="0"/>
                <w:numId w:val="22"/>
              </w:numPr>
              <w:spacing w:before="280" w:after="280"/>
              <w:textAlignment w:val="baseline"/>
              <w:rPr>
                <w:rFonts w:ascii="Arial" w:hAnsi="Arial" w:cs="Arial"/>
                <w:color w:val="000000"/>
                <w:sz w:val="20"/>
                <w:szCs w:val="20"/>
              </w:rPr>
            </w:pPr>
            <w:r>
              <w:rPr>
                <w:rFonts w:eastAsiaTheme="minorEastAsia"/>
                <w:color w:val="000000"/>
                <w:sz w:val="20"/>
                <w:szCs w:val="20"/>
                <w:lang w:val="en-US" w:eastAsia="zh-CN"/>
              </w:rPr>
              <w:t>FFS: Whether or not the symbol can be converted to a DL-only symbol</w:t>
            </w:r>
          </w:p>
          <w:p w14:paraId="099CCDC0" w14:textId="77777777" w:rsidR="00751823" w:rsidRDefault="00000000">
            <w:pPr>
              <w:pStyle w:val="NormalWeb"/>
              <w:numPr>
                <w:ilvl w:val="0"/>
                <w:numId w:val="23"/>
              </w:numPr>
              <w:spacing w:before="280" w:after="280"/>
              <w:textAlignment w:val="baseline"/>
              <w:rPr>
                <w:rFonts w:ascii="Arial" w:hAnsi="Arial" w:cs="Arial"/>
                <w:color w:val="000000"/>
                <w:sz w:val="20"/>
                <w:szCs w:val="20"/>
              </w:rPr>
            </w:pPr>
            <w:r>
              <w:rPr>
                <w:rFonts w:eastAsiaTheme="minorEastAsia"/>
                <w:color w:val="000000"/>
                <w:sz w:val="20"/>
                <w:szCs w:val="20"/>
                <w:lang w:val="en-US" w:eastAsia="zh-CN"/>
              </w:rPr>
              <w:t>Frequency locations of DL subband(s) are known to the SBFD aware UE</w:t>
            </w:r>
          </w:p>
          <w:p w14:paraId="5F8DF7FE" w14:textId="77777777" w:rsidR="00751823" w:rsidRDefault="00000000">
            <w:pPr>
              <w:pStyle w:val="NormalWeb"/>
              <w:numPr>
                <w:ilvl w:val="0"/>
                <w:numId w:val="24"/>
              </w:numPr>
              <w:spacing w:before="280" w:after="280"/>
              <w:textAlignment w:val="baseline"/>
              <w:rPr>
                <w:rFonts w:ascii="Arial" w:hAnsi="Arial" w:cs="Arial"/>
                <w:color w:val="000000"/>
                <w:sz w:val="20"/>
                <w:szCs w:val="20"/>
              </w:rPr>
            </w:pPr>
            <w:r>
              <w:rPr>
                <w:rFonts w:eastAsiaTheme="minorEastAsia"/>
                <w:color w:val="000000"/>
                <w:sz w:val="20"/>
                <w:szCs w:val="20"/>
                <w:lang w:val="en-US" w:eastAsia="zh-CN"/>
              </w:rPr>
              <w:t>DL receptions within DL subband(s) are allowed in the symbol</w:t>
            </w:r>
          </w:p>
          <w:p w14:paraId="646FC2C8" w14:textId="77777777" w:rsidR="00751823" w:rsidRDefault="00000000">
            <w:pPr>
              <w:pStyle w:val="NormalWeb"/>
              <w:spacing w:before="280" w:after="280"/>
              <w:rPr>
                <w:rFonts w:eastAsiaTheme="minorEastAsia"/>
              </w:rPr>
            </w:pPr>
            <w:r>
              <w:rPr>
                <w:rFonts w:eastAsiaTheme="minorEastAsia"/>
                <w:color w:val="000000"/>
                <w:sz w:val="20"/>
                <w:szCs w:val="20"/>
              </w:rPr>
              <w:t>Note: UL transmissions are within active UL BWP and DL receptions are within active DL BWP in the symbol for both options. For all RBs outside the UL subband, UE cannot use separate RBs for DL and UL simultaneously</w:t>
            </w:r>
          </w:p>
          <w:p w14:paraId="2E9067FF" w14:textId="77777777" w:rsidR="00751823" w:rsidRDefault="00000000">
            <w:pPr>
              <w:pStyle w:val="NormalWeb"/>
              <w:spacing w:before="280" w:beforeAutospacing="0" w:after="120" w:afterAutospacing="0"/>
              <w:jc w:val="both"/>
              <w:rPr>
                <w:rFonts w:eastAsiaTheme="minorEastAsia"/>
              </w:rPr>
            </w:pPr>
            <w:r>
              <w:rPr>
                <w:rFonts w:eastAsiaTheme="minorEastAsia"/>
                <w:b/>
                <w:bCs/>
                <w:color w:val="000000"/>
                <w:sz w:val="20"/>
                <w:szCs w:val="20"/>
                <w:shd w:val="clear" w:color="auto" w:fill="00FF00"/>
              </w:rPr>
              <w:t>Agreement</w:t>
            </w:r>
          </w:p>
          <w:p w14:paraId="74F26658" w14:textId="77777777" w:rsidR="00751823" w:rsidRDefault="00000000">
            <w:pPr>
              <w:pStyle w:val="NormalWeb"/>
              <w:spacing w:before="280" w:beforeAutospacing="0" w:after="120" w:afterAutospacing="0"/>
              <w:jc w:val="both"/>
              <w:rPr>
                <w:rFonts w:eastAsiaTheme="minorEastAsia"/>
              </w:rPr>
            </w:pPr>
            <w:r>
              <w:rPr>
                <w:rFonts w:eastAsiaTheme="minorEastAsia"/>
                <w:color w:val="000000"/>
                <w:sz w:val="20"/>
                <w:szCs w:val="20"/>
              </w:rPr>
              <w:lastRenderedPageBreak/>
              <w:t>Study the impact and benefits of potential enhancements to resource allocation in frequency-domain for SBFD operation, considering unaligned boundaries between resource block group(s)/reporting subband(s) and SBFD subbands, including at least the following:</w:t>
            </w:r>
          </w:p>
          <w:p w14:paraId="124D2D77" w14:textId="77777777" w:rsidR="00751823" w:rsidRDefault="00000000">
            <w:pPr>
              <w:pStyle w:val="NormalWeb"/>
              <w:numPr>
                <w:ilvl w:val="0"/>
                <w:numId w:val="8"/>
              </w:numPr>
              <w:spacing w:before="280" w:beforeAutospacing="0" w:afterAutospacing="0"/>
              <w:ind w:left="360"/>
              <w:textAlignment w:val="baseline"/>
              <w:rPr>
                <w:color w:val="000000"/>
                <w:sz w:val="20"/>
                <w:szCs w:val="20"/>
              </w:rPr>
            </w:pPr>
            <w:r>
              <w:rPr>
                <w:rFonts w:eastAsiaTheme="minorEastAsia"/>
                <w:color w:val="000000"/>
                <w:sz w:val="20"/>
                <w:szCs w:val="20"/>
                <w:lang w:val="en-US" w:eastAsia="zh-CN"/>
              </w:rPr>
              <w:t>RBG for PDSCH RA type 0</w:t>
            </w:r>
          </w:p>
          <w:p w14:paraId="35D5EC7F" w14:textId="77777777" w:rsidR="00751823" w:rsidRDefault="00000000">
            <w:pPr>
              <w:pStyle w:val="NormalWeb"/>
              <w:numPr>
                <w:ilvl w:val="0"/>
                <w:numId w:val="8"/>
              </w:numPr>
              <w:spacing w:before="280" w:beforeAutospacing="0" w:afterAutospacing="0"/>
              <w:ind w:left="360"/>
              <w:textAlignment w:val="baseline"/>
              <w:rPr>
                <w:color w:val="000000"/>
                <w:sz w:val="20"/>
                <w:szCs w:val="20"/>
              </w:rPr>
            </w:pPr>
            <w:r>
              <w:rPr>
                <w:rFonts w:eastAsiaTheme="minorEastAsia"/>
                <w:color w:val="000000"/>
                <w:sz w:val="20"/>
                <w:szCs w:val="20"/>
                <w:lang w:val="en-US" w:eastAsia="zh-CN"/>
              </w:rPr>
              <w:t>CSI reporting configuration</w:t>
            </w:r>
          </w:p>
          <w:p w14:paraId="6ADE9BCD" w14:textId="77777777" w:rsidR="00751823" w:rsidRDefault="00000000">
            <w:pPr>
              <w:pStyle w:val="NormalWeb"/>
              <w:numPr>
                <w:ilvl w:val="0"/>
                <w:numId w:val="8"/>
              </w:numPr>
              <w:spacing w:before="280" w:beforeAutospacing="0" w:afterAutospacing="0"/>
              <w:ind w:left="360"/>
              <w:textAlignment w:val="baseline"/>
              <w:rPr>
                <w:color w:val="FF0000"/>
                <w:sz w:val="20"/>
                <w:szCs w:val="20"/>
              </w:rPr>
            </w:pPr>
            <w:r>
              <w:rPr>
                <w:rFonts w:eastAsiaTheme="minorEastAsia"/>
                <w:color w:val="FF0000"/>
                <w:sz w:val="20"/>
                <w:szCs w:val="20"/>
                <w:lang w:val="en-US" w:eastAsia="zh-CN"/>
              </w:rPr>
              <w:t>CSI-RS resource configuration</w:t>
            </w:r>
          </w:p>
          <w:p w14:paraId="790BF53D" w14:textId="77777777" w:rsidR="00751823" w:rsidRDefault="00000000">
            <w:pPr>
              <w:pStyle w:val="NormalWeb"/>
              <w:numPr>
                <w:ilvl w:val="0"/>
                <w:numId w:val="8"/>
              </w:numPr>
              <w:spacing w:before="280" w:beforeAutospacing="0" w:after="50" w:afterAutospacing="0"/>
              <w:ind w:left="360"/>
              <w:textAlignment w:val="baseline"/>
              <w:rPr>
                <w:color w:val="000000"/>
                <w:sz w:val="20"/>
                <w:szCs w:val="20"/>
              </w:rPr>
            </w:pPr>
            <w:r>
              <w:rPr>
                <w:rFonts w:eastAsiaTheme="minorEastAsia"/>
                <w:color w:val="000000"/>
                <w:sz w:val="20"/>
                <w:szCs w:val="20"/>
                <w:lang w:val="en-US" w:eastAsia="zh-CN"/>
              </w:rPr>
              <w:t>PRG of PDSCH</w:t>
            </w:r>
          </w:p>
          <w:p w14:paraId="5ACC2968" w14:textId="77777777" w:rsidR="00751823" w:rsidRDefault="00751823">
            <w:pPr>
              <w:rPr>
                <w:sz w:val="20"/>
                <w:szCs w:val="20"/>
              </w:rPr>
            </w:pPr>
          </w:p>
          <w:p w14:paraId="655D6B8C" w14:textId="77777777" w:rsidR="00751823" w:rsidRDefault="00751823">
            <w:pPr>
              <w:rPr>
                <w:sz w:val="20"/>
                <w:szCs w:val="20"/>
              </w:rPr>
            </w:pPr>
          </w:p>
        </w:tc>
      </w:tr>
    </w:tbl>
    <w:p w14:paraId="6160F341" w14:textId="77777777" w:rsidR="00751823" w:rsidRDefault="00751823">
      <w:pPr>
        <w:ind w:left="432"/>
      </w:pPr>
    </w:p>
    <w:p w14:paraId="5F60F8C0" w14:textId="77777777" w:rsidR="00751823" w:rsidRDefault="00000000">
      <w:pPr>
        <w:jc w:val="both"/>
        <w:textAlignment w:val="baseline"/>
        <w:rPr>
          <w:color w:val="000000"/>
          <w:sz w:val="20"/>
          <w:szCs w:val="20"/>
          <w:lang w:eastAsia="en-IN"/>
        </w:rPr>
      </w:pPr>
      <w:r>
        <w:rPr>
          <w:color w:val="000000"/>
          <w:sz w:val="20"/>
          <w:szCs w:val="20"/>
          <w:lang w:eastAsia="en-IN"/>
        </w:rPr>
        <w:t>In this contribution, we provide a discussion on the study and enhancements required for implementing SBFD in a network based on the agreements in the previous meetings.</w:t>
      </w:r>
    </w:p>
    <w:p w14:paraId="2633CC6C" w14:textId="77777777" w:rsidR="00751823" w:rsidRDefault="00751823">
      <w:pPr>
        <w:jc w:val="both"/>
        <w:textAlignment w:val="baseline"/>
        <w:rPr>
          <w:color w:val="000000"/>
          <w:sz w:val="20"/>
          <w:szCs w:val="20"/>
          <w:lang w:eastAsia="en-IN"/>
        </w:rPr>
      </w:pPr>
    </w:p>
    <w:p w14:paraId="356E84F1" w14:textId="090C072F" w:rsidR="00751823" w:rsidRDefault="009D1FD2" w:rsidP="0089296A">
      <w:pPr>
        <w:spacing w:before="240" w:after="240"/>
        <w:jc w:val="both"/>
        <w:textAlignment w:val="baseline"/>
      </w:pPr>
      <w:r>
        <w:rPr>
          <w:b/>
          <w:bCs/>
          <w:color w:val="000000"/>
          <w:sz w:val="20"/>
          <w:szCs w:val="20"/>
          <w:lang w:eastAsia="en-IN"/>
        </w:rPr>
        <w:t>2.1 Enhancement</w:t>
      </w:r>
      <w:r w:rsidR="00000000">
        <w:rPr>
          <w:b/>
          <w:bCs/>
          <w:color w:val="000000"/>
          <w:sz w:val="20"/>
          <w:szCs w:val="20"/>
          <w:lang w:eastAsia="en-IN"/>
        </w:rPr>
        <w:t xml:space="preserve"> in flexible slots</w:t>
      </w:r>
    </w:p>
    <w:p w14:paraId="44C9AF88" w14:textId="33FA8C57" w:rsidR="00751823" w:rsidRDefault="00000000" w:rsidP="0089296A">
      <w:pPr>
        <w:spacing w:before="240" w:after="240"/>
        <w:jc w:val="both"/>
        <w:textAlignment w:val="baseline"/>
        <w:rPr>
          <w:color w:val="000000"/>
          <w:sz w:val="20"/>
          <w:szCs w:val="20"/>
          <w:lang w:eastAsia="en-IN"/>
        </w:rPr>
      </w:pPr>
      <w:r>
        <w:rPr>
          <w:color w:val="000000"/>
          <w:sz w:val="20"/>
          <w:szCs w:val="20"/>
          <w:lang w:eastAsia="en-IN"/>
        </w:rPr>
        <w:t>In existing NR, flexible slots can be configured to be UL or DL. SBFD</w:t>
      </w:r>
      <w:r w:rsidR="00024B6B">
        <w:rPr>
          <w:color w:val="000000"/>
          <w:sz w:val="20"/>
          <w:szCs w:val="20"/>
          <w:lang w:eastAsia="en-IN"/>
        </w:rPr>
        <w:t xml:space="preserve"> allows</w:t>
      </w:r>
      <w:r>
        <w:rPr>
          <w:color w:val="000000"/>
          <w:sz w:val="20"/>
          <w:szCs w:val="20"/>
          <w:lang w:eastAsia="en-IN"/>
        </w:rPr>
        <w:t xml:space="preserve"> allocat</w:t>
      </w:r>
      <w:r w:rsidR="00024B6B">
        <w:rPr>
          <w:color w:val="000000"/>
          <w:sz w:val="20"/>
          <w:szCs w:val="20"/>
          <w:lang w:eastAsia="en-IN"/>
        </w:rPr>
        <w:t>ion of</w:t>
      </w:r>
      <w:r>
        <w:rPr>
          <w:color w:val="000000"/>
          <w:sz w:val="20"/>
          <w:szCs w:val="20"/>
          <w:lang w:eastAsia="en-IN"/>
        </w:rPr>
        <w:t xml:space="preserve"> both DL and UL in the same slot. Thus, there is a high probability of collision of UL and DL messages. Both UL transmission and DL reception in an SBFD symbol can be regulated semi-statically or dynamically. However, a UE can only conduct the UL transmission or DL reception at the same time. As a consequence, </w:t>
      </w:r>
      <w:r w:rsidR="004354C0">
        <w:rPr>
          <w:color w:val="000000"/>
          <w:sz w:val="20"/>
          <w:szCs w:val="20"/>
          <w:lang w:eastAsia="en-IN"/>
        </w:rPr>
        <w:t>prioritizing</w:t>
      </w:r>
      <w:r>
        <w:rPr>
          <w:color w:val="000000"/>
          <w:sz w:val="20"/>
          <w:szCs w:val="20"/>
          <w:lang w:eastAsia="en-IN"/>
        </w:rPr>
        <w:t xml:space="preserve"> rule</w:t>
      </w:r>
      <w:r w:rsidR="00024B6B">
        <w:rPr>
          <w:color w:val="000000"/>
          <w:sz w:val="20"/>
          <w:szCs w:val="20"/>
          <w:lang w:eastAsia="en-IN"/>
        </w:rPr>
        <w:t>s</w:t>
      </w:r>
      <w:r>
        <w:rPr>
          <w:color w:val="000000"/>
          <w:sz w:val="20"/>
          <w:szCs w:val="20"/>
          <w:lang w:eastAsia="en-IN"/>
        </w:rPr>
        <w:t xml:space="preserve"> may be necessary for the UE to choose only one of the overlapped UL transmission and DL reception</w:t>
      </w:r>
      <w:r w:rsidR="00024B6B">
        <w:rPr>
          <w:color w:val="000000"/>
          <w:sz w:val="20"/>
          <w:szCs w:val="20"/>
          <w:lang w:eastAsia="en-IN"/>
        </w:rPr>
        <w:t xml:space="preserve"> when collisions are detected.</w:t>
      </w:r>
    </w:p>
    <w:p w14:paraId="085FC1A9" w14:textId="5A630758" w:rsidR="00751823" w:rsidRPr="00C5607F" w:rsidRDefault="00000000" w:rsidP="0089296A">
      <w:pPr>
        <w:spacing w:before="240" w:after="240"/>
        <w:rPr>
          <w:rFonts w:eastAsiaTheme="minorEastAsia"/>
          <w:sz w:val="20"/>
          <w:szCs w:val="20"/>
        </w:rPr>
      </w:pPr>
      <w:r>
        <w:rPr>
          <w:b/>
          <w:bCs/>
          <w:i/>
          <w:iCs/>
          <w:color w:val="000000"/>
          <w:sz w:val="20"/>
          <w:szCs w:val="20"/>
        </w:rPr>
        <w:t xml:space="preserve">Observation </w:t>
      </w:r>
      <w:r w:rsidR="009D1FD2">
        <w:rPr>
          <w:b/>
          <w:bCs/>
          <w:i/>
          <w:iCs/>
          <w:color w:val="000000"/>
          <w:sz w:val="20"/>
          <w:szCs w:val="20"/>
        </w:rPr>
        <w:t>1</w:t>
      </w:r>
      <w:r>
        <w:rPr>
          <w:b/>
          <w:bCs/>
          <w:i/>
          <w:iCs/>
          <w:color w:val="000000"/>
          <w:sz w:val="20"/>
          <w:szCs w:val="20"/>
        </w:rPr>
        <w:t>:</w:t>
      </w:r>
      <w:r>
        <w:rPr>
          <w:color w:val="000000"/>
          <w:sz w:val="20"/>
          <w:szCs w:val="20"/>
        </w:rPr>
        <w:t xml:space="preserve"> In case of flexible slots,</w:t>
      </w:r>
      <w:r>
        <w:rPr>
          <w:sz w:val="20"/>
          <w:szCs w:val="20"/>
        </w:rPr>
        <w:t xml:space="preserve"> the UE has simultaneous DL &amp; UL messages being allocated to it. So,</w:t>
      </w:r>
      <w:r>
        <w:rPr>
          <w:color w:val="000000"/>
          <w:sz w:val="20"/>
          <w:szCs w:val="20"/>
        </w:rPr>
        <w:t xml:space="preserve"> there might be chance of collision of DL and UL messages.</w:t>
      </w:r>
      <w:r w:rsidR="00C5607F" w:rsidRPr="00C5607F">
        <w:rPr>
          <w:rFonts w:eastAsiaTheme="minorEastAsia"/>
          <w:b/>
          <w:bCs/>
          <w:i/>
          <w:iCs/>
          <w:sz w:val="20"/>
          <w:szCs w:val="20"/>
        </w:rPr>
        <w:t xml:space="preserve"> </w:t>
      </w:r>
      <w:r w:rsidR="00C5607F">
        <w:rPr>
          <w:rFonts w:eastAsiaTheme="minorEastAsia"/>
          <w:b/>
          <w:bCs/>
          <w:i/>
          <w:iCs/>
          <w:sz w:val="20"/>
          <w:szCs w:val="20"/>
        </w:rPr>
        <w:t xml:space="preserve"> </w:t>
      </w:r>
      <w:r w:rsidR="00C5607F" w:rsidRPr="00C5607F">
        <w:rPr>
          <w:rFonts w:eastAsiaTheme="minorEastAsia"/>
          <w:sz w:val="20"/>
          <w:szCs w:val="20"/>
        </w:rPr>
        <w:t xml:space="preserve">For Example: The gNB </w:t>
      </w:r>
      <w:r w:rsidR="000975F2" w:rsidRPr="00C5607F">
        <w:rPr>
          <w:rFonts w:eastAsiaTheme="minorEastAsia"/>
          <w:sz w:val="20"/>
          <w:szCs w:val="20"/>
        </w:rPr>
        <w:t>semi statically</w:t>
      </w:r>
      <w:r w:rsidR="00C5607F" w:rsidRPr="00C5607F">
        <w:rPr>
          <w:rFonts w:eastAsiaTheme="minorEastAsia"/>
          <w:sz w:val="20"/>
          <w:szCs w:val="20"/>
        </w:rPr>
        <w:t xml:space="preserve"> configures UL subband in a symbol. The same symbol might be configured with a periodic CSI-RS in DL. In this case, the UE needs to decide whether to perform CSI-RS reception or UL transmission. Thus, priority rule</w:t>
      </w:r>
      <w:r w:rsidR="00024B6B">
        <w:rPr>
          <w:rFonts w:eastAsiaTheme="minorEastAsia"/>
          <w:sz w:val="20"/>
          <w:szCs w:val="20"/>
        </w:rPr>
        <w:t>s</w:t>
      </w:r>
      <w:r w:rsidR="00C5607F" w:rsidRPr="00C5607F">
        <w:rPr>
          <w:rFonts w:eastAsiaTheme="minorEastAsia"/>
          <w:sz w:val="20"/>
          <w:szCs w:val="20"/>
        </w:rPr>
        <w:t xml:space="preserve"> need to be defined in the specification for such collisions. </w:t>
      </w:r>
    </w:p>
    <w:p w14:paraId="243A410D" w14:textId="08387C0D" w:rsidR="00751823" w:rsidRDefault="00000000" w:rsidP="0089296A">
      <w:pPr>
        <w:spacing w:before="240" w:after="240"/>
        <w:rPr>
          <w:rFonts w:eastAsiaTheme="minorEastAsia"/>
          <w:b/>
          <w:bCs/>
          <w:i/>
          <w:iCs/>
          <w:sz w:val="20"/>
          <w:szCs w:val="20"/>
        </w:rPr>
      </w:pPr>
      <w:r>
        <w:rPr>
          <w:b/>
          <w:bCs/>
          <w:i/>
          <w:iCs/>
          <w:sz w:val="20"/>
          <w:szCs w:val="20"/>
        </w:rPr>
        <w:t>Proposal</w:t>
      </w:r>
      <w:r w:rsidR="009D1FD2">
        <w:rPr>
          <w:b/>
          <w:bCs/>
          <w:i/>
          <w:iCs/>
          <w:sz w:val="20"/>
          <w:szCs w:val="20"/>
        </w:rPr>
        <w:t xml:space="preserve"> 1</w:t>
      </w:r>
      <w:r>
        <w:rPr>
          <w:b/>
          <w:bCs/>
          <w:i/>
          <w:iCs/>
          <w:sz w:val="20"/>
          <w:szCs w:val="20"/>
        </w:rPr>
        <w:t>:</w:t>
      </w:r>
      <w:r>
        <w:rPr>
          <w:rFonts w:eastAsiaTheme="minorEastAsia"/>
          <w:i/>
          <w:iCs/>
          <w:sz w:val="20"/>
          <w:szCs w:val="20"/>
        </w:rPr>
        <w:t xml:space="preserve"> </w:t>
      </w:r>
      <w:r>
        <w:rPr>
          <w:rFonts w:eastAsiaTheme="minorEastAsia"/>
          <w:b/>
          <w:bCs/>
          <w:i/>
          <w:iCs/>
          <w:sz w:val="20"/>
          <w:szCs w:val="20"/>
        </w:rPr>
        <w:t>There should be a study to examine the DL and UL message collision in flexible slots by using gNB schedulers for dynamically schedule the messages for that slot. The gNB scheduler can configure and schedule the UL/DL transmission in a symbol.</w:t>
      </w:r>
    </w:p>
    <w:p w14:paraId="00C9EC73" w14:textId="73447D98" w:rsidR="009D1FD2" w:rsidRPr="009D1FD2" w:rsidRDefault="009D1FD2" w:rsidP="009D1FD2">
      <w:pPr>
        <w:pStyle w:val="ListParagraph"/>
        <w:numPr>
          <w:ilvl w:val="1"/>
          <w:numId w:val="25"/>
        </w:numPr>
        <w:spacing w:before="240" w:after="240"/>
        <w:jc w:val="both"/>
        <w:textAlignment w:val="baseline"/>
        <w:rPr>
          <w:b/>
          <w:bCs/>
          <w:color w:val="000000"/>
          <w:sz w:val="20"/>
          <w:szCs w:val="20"/>
          <w:lang w:eastAsia="en-IN"/>
        </w:rPr>
      </w:pPr>
      <w:r w:rsidRPr="009D1FD2">
        <w:rPr>
          <w:b/>
          <w:bCs/>
          <w:color w:val="000000"/>
          <w:sz w:val="20"/>
          <w:szCs w:val="20"/>
          <w:lang w:eastAsia="en-IN"/>
        </w:rPr>
        <w:t>PRACH related enhancement</w:t>
      </w:r>
    </w:p>
    <w:p w14:paraId="5D809AEB" w14:textId="4A8B0232" w:rsidR="009D1FD2" w:rsidRPr="0089296A" w:rsidRDefault="009D1FD2" w:rsidP="009D1FD2">
      <w:pPr>
        <w:spacing w:before="240" w:after="240"/>
        <w:jc w:val="both"/>
        <w:textAlignment w:val="baseline"/>
        <w:rPr>
          <w:b/>
          <w:bCs/>
        </w:rPr>
      </w:pPr>
      <w:r w:rsidRPr="0089296A">
        <w:rPr>
          <w:b/>
          <w:bCs/>
          <w:i/>
          <w:iCs/>
          <w:sz w:val="20"/>
          <w:szCs w:val="20"/>
        </w:rPr>
        <w:t xml:space="preserve">Observation </w:t>
      </w:r>
      <w:r>
        <w:rPr>
          <w:b/>
          <w:bCs/>
          <w:i/>
          <w:iCs/>
          <w:sz w:val="20"/>
          <w:szCs w:val="20"/>
        </w:rPr>
        <w:t>2</w:t>
      </w:r>
      <w:r w:rsidRPr="0089296A">
        <w:rPr>
          <w:b/>
          <w:bCs/>
          <w:i/>
          <w:iCs/>
          <w:sz w:val="20"/>
          <w:szCs w:val="20"/>
        </w:rPr>
        <w:t>:</w:t>
      </w:r>
      <w:r w:rsidRPr="0089296A">
        <w:rPr>
          <w:b/>
          <w:bCs/>
        </w:rPr>
        <w:t xml:space="preserve"> </w:t>
      </w:r>
      <w:r w:rsidRPr="0089296A">
        <w:rPr>
          <w:color w:val="000000"/>
          <w:sz w:val="20"/>
          <w:szCs w:val="20"/>
        </w:rPr>
        <w:t xml:space="preserve">Allowing PRACH transmission in SBFD symbols increases </w:t>
      </w:r>
      <w:r>
        <w:rPr>
          <w:color w:val="000000"/>
          <w:sz w:val="20"/>
          <w:szCs w:val="20"/>
        </w:rPr>
        <w:t>the</w:t>
      </w:r>
      <w:r w:rsidRPr="0089296A">
        <w:rPr>
          <w:color w:val="000000"/>
          <w:sz w:val="20"/>
          <w:szCs w:val="20"/>
        </w:rPr>
        <w:t xml:space="preserve"> number of consecutive slots. Repetition of PRACH signal increase</w:t>
      </w:r>
      <w:r>
        <w:rPr>
          <w:color w:val="000000"/>
          <w:sz w:val="20"/>
          <w:szCs w:val="20"/>
        </w:rPr>
        <w:t>s</w:t>
      </w:r>
      <w:r w:rsidRPr="0089296A">
        <w:rPr>
          <w:color w:val="000000"/>
          <w:sz w:val="20"/>
          <w:szCs w:val="20"/>
        </w:rPr>
        <w:t xml:space="preserve"> the </w:t>
      </w:r>
      <w:r>
        <w:rPr>
          <w:color w:val="000000"/>
          <w:sz w:val="20"/>
          <w:szCs w:val="20"/>
        </w:rPr>
        <w:t xml:space="preserve">UL </w:t>
      </w:r>
      <w:r w:rsidRPr="0089296A">
        <w:rPr>
          <w:color w:val="000000"/>
          <w:sz w:val="20"/>
          <w:szCs w:val="20"/>
        </w:rPr>
        <w:t>coverage</w:t>
      </w:r>
      <w:r>
        <w:rPr>
          <w:color w:val="000000"/>
          <w:sz w:val="20"/>
          <w:szCs w:val="20"/>
        </w:rPr>
        <w:t>.</w:t>
      </w:r>
    </w:p>
    <w:p w14:paraId="39620797" w14:textId="1C86FD62" w:rsidR="009D1FD2" w:rsidRPr="009D1FD2" w:rsidRDefault="009D1FD2" w:rsidP="009D1FD2">
      <w:pPr>
        <w:spacing w:before="240" w:after="240"/>
        <w:jc w:val="both"/>
        <w:rPr>
          <w:b/>
          <w:bCs/>
          <w:i/>
          <w:iCs/>
          <w:sz w:val="20"/>
          <w:szCs w:val="20"/>
        </w:rPr>
      </w:pPr>
      <w:r>
        <w:rPr>
          <w:b/>
          <w:bCs/>
          <w:i/>
          <w:iCs/>
          <w:sz w:val="20"/>
          <w:szCs w:val="20"/>
        </w:rPr>
        <w:t xml:space="preserve">Proposal </w:t>
      </w:r>
      <w:r>
        <w:rPr>
          <w:b/>
          <w:bCs/>
          <w:i/>
          <w:iCs/>
          <w:sz w:val="20"/>
          <w:szCs w:val="20"/>
        </w:rPr>
        <w:t>2</w:t>
      </w:r>
      <w:r>
        <w:rPr>
          <w:b/>
          <w:bCs/>
          <w:i/>
          <w:iCs/>
          <w:sz w:val="20"/>
          <w:szCs w:val="20"/>
        </w:rPr>
        <w:t>: Initial access on SBFD symbols needs to be studied since allowing initial access in SBFD symbols can improve PRACH latency as it decreases initial access delay unlike legacy TDD.</w:t>
      </w:r>
    </w:p>
    <w:p w14:paraId="0EADCE3D" w14:textId="79F3415F" w:rsidR="00751823" w:rsidRPr="00C5607F" w:rsidRDefault="00000000" w:rsidP="0089296A">
      <w:pPr>
        <w:spacing w:before="240" w:after="240"/>
        <w:jc w:val="both"/>
        <w:textAlignment w:val="baseline"/>
        <w:rPr>
          <w:rFonts w:eastAsiaTheme="minorEastAsia"/>
          <w:b/>
          <w:bCs/>
          <w:i/>
          <w:iCs/>
          <w:sz w:val="20"/>
          <w:szCs w:val="20"/>
        </w:rPr>
      </w:pPr>
      <w:r>
        <w:rPr>
          <w:b/>
          <w:bCs/>
          <w:color w:val="000000"/>
          <w:sz w:val="20"/>
          <w:szCs w:val="20"/>
          <w:lang w:eastAsia="en-IN"/>
        </w:rPr>
        <w:t>2.3 Enhancement related to cross-link interference (CLI)</w:t>
      </w:r>
    </w:p>
    <w:p w14:paraId="3CCDA7CB" w14:textId="3F723902" w:rsidR="00751823" w:rsidRDefault="00000000" w:rsidP="0089296A">
      <w:pPr>
        <w:spacing w:before="240" w:after="240"/>
        <w:jc w:val="both"/>
        <w:rPr>
          <w:sz w:val="20"/>
          <w:szCs w:val="20"/>
          <w:lang w:eastAsia="en-US"/>
        </w:rPr>
      </w:pPr>
      <w:r>
        <w:rPr>
          <w:rFonts w:eastAsiaTheme="minorEastAsia"/>
          <w:sz w:val="20"/>
          <w:szCs w:val="20"/>
        </w:rPr>
        <w:t>UE- UE and gNB-gNB CLI exist in both SBFD and dynamic TDD. However, in SBFD sub-band level CLI is present. Rel. 16 CLI management does not take into account subband level CLI. Hence, measurement at sub-band level is required. It could be useful for a gNB to be informed of the ranges of interferences associated in a DL receiver for UE-to-UE CLI handling, and to execute DL scheduling and data transmission correspondingly. A UE operating in duplex mode in Rel-18 SBFD will experience co-channel inter-subband/intra-subband CLI and adjacent-channel CLI from different UEs in the same cell or neighbour cells. To ensure DL functionality, CLI mitigation strategies must be addressed.</w:t>
      </w:r>
      <w:r w:rsidR="004354C0" w:rsidRPr="004354C0">
        <w:rPr>
          <w:sz w:val="20"/>
          <w:szCs w:val="20"/>
        </w:rPr>
        <w:t xml:space="preserve"> </w:t>
      </w:r>
      <w:r w:rsidR="004354C0" w:rsidRPr="004F345A">
        <w:rPr>
          <w:sz w:val="20"/>
          <w:szCs w:val="20"/>
        </w:rPr>
        <w:t xml:space="preserve">UE-to-UE inter-cell co-channel inter-subband CLI </w:t>
      </w:r>
      <w:r w:rsidR="004354C0">
        <w:rPr>
          <w:rFonts w:eastAsiaTheme="minorEastAsia"/>
          <w:sz w:val="20"/>
          <w:szCs w:val="20"/>
        </w:rPr>
        <w:t>is defined as t</w:t>
      </w:r>
      <w:r w:rsidR="004354C0" w:rsidRPr="004F345A">
        <w:rPr>
          <w:rFonts w:eastAsiaTheme="minorEastAsia"/>
          <w:sz w:val="20"/>
          <w:szCs w:val="20"/>
        </w:rPr>
        <w:t>he interference created by the aggressor UE transmitting in a carrier to the victim UE receiving DL subband in the next cell in the same carrier.</w:t>
      </w:r>
      <w:r w:rsidR="004354C0">
        <w:rPr>
          <w:rFonts w:eastAsiaTheme="minorEastAsia"/>
          <w:sz w:val="20"/>
          <w:szCs w:val="20"/>
        </w:rPr>
        <w:t xml:space="preserve"> </w:t>
      </w:r>
    </w:p>
    <w:p w14:paraId="38AAE1FA" w14:textId="77777777" w:rsidR="00751823" w:rsidRDefault="00751823" w:rsidP="0089296A">
      <w:pPr>
        <w:spacing w:before="240" w:after="240"/>
        <w:rPr>
          <w:rFonts w:eastAsiaTheme="minorEastAsia"/>
          <w:b/>
          <w:bCs/>
          <w:sz w:val="20"/>
          <w:szCs w:val="20"/>
        </w:rPr>
      </w:pPr>
    </w:p>
    <w:p w14:paraId="0EABF563" w14:textId="5B511DE2" w:rsidR="00751823" w:rsidRDefault="00000000" w:rsidP="0089296A">
      <w:pPr>
        <w:spacing w:before="240" w:after="240"/>
        <w:jc w:val="both"/>
        <w:rPr>
          <w:b/>
          <w:bCs/>
          <w:sz w:val="20"/>
          <w:szCs w:val="20"/>
          <w:lang w:eastAsia="en-US"/>
        </w:rPr>
      </w:pPr>
      <w:r>
        <w:rPr>
          <w:b/>
          <w:bCs/>
          <w:sz w:val="20"/>
          <w:szCs w:val="20"/>
        </w:rPr>
        <w:t xml:space="preserve">Observation 3: </w:t>
      </w:r>
      <w:r>
        <w:rPr>
          <w:sz w:val="20"/>
          <w:szCs w:val="20"/>
        </w:rPr>
        <w:t xml:space="preserve">The SBFD scenario is different from legacy TDD and dynamic TDD. Hence more specifications </w:t>
      </w:r>
      <w:r w:rsidR="002E0327">
        <w:rPr>
          <w:sz w:val="20"/>
          <w:szCs w:val="20"/>
        </w:rPr>
        <w:t xml:space="preserve">are required </w:t>
      </w:r>
      <w:r>
        <w:rPr>
          <w:sz w:val="20"/>
          <w:szCs w:val="20"/>
        </w:rPr>
        <w:t xml:space="preserve">in </w:t>
      </w:r>
      <w:r w:rsidR="002E0327">
        <w:rPr>
          <w:sz w:val="20"/>
          <w:szCs w:val="20"/>
        </w:rPr>
        <w:t xml:space="preserve">the </w:t>
      </w:r>
      <w:r>
        <w:rPr>
          <w:sz w:val="20"/>
          <w:szCs w:val="20"/>
        </w:rPr>
        <w:t xml:space="preserve">case of UE-UE and gNB-gNB CLI </w:t>
      </w:r>
      <w:r w:rsidR="007D56D9">
        <w:rPr>
          <w:sz w:val="20"/>
          <w:szCs w:val="20"/>
        </w:rPr>
        <w:t xml:space="preserve">measurement, </w:t>
      </w:r>
      <w:r>
        <w:rPr>
          <w:sz w:val="20"/>
          <w:szCs w:val="20"/>
        </w:rPr>
        <w:t>mitigation and handling.</w:t>
      </w:r>
      <w:r w:rsidR="004354C0" w:rsidRPr="004354C0">
        <w:rPr>
          <w:rFonts w:eastAsiaTheme="minorEastAsia"/>
          <w:sz w:val="20"/>
          <w:szCs w:val="20"/>
        </w:rPr>
        <w:t xml:space="preserve"> </w:t>
      </w:r>
    </w:p>
    <w:p w14:paraId="4DFA06FD" w14:textId="4B0A5D64" w:rsidR="00751823" w:rsidRDefault="00000000" w:rsidP="0089296A">
      <w:pPr>
        <w:spacing w:before="240" w:after="240"/>
        <w:jc w:val="both"/>
        <w:rPr>
          <w:b/>
          <w:bCs/>
          <w:i/>
          <w:iCs/>
          <w:sz w:val="20"/>
          <w:szCs w:val="20"/>
        </w:rPr>
      </w:pPr>
      <w:r>
        <w:rPr>
          <w:b/>
          <w:bCs/>
          <w:i/>
          <w:iCs/>
          <w:sz w:val="20"/>
          <w:szCs w:val="20"/>
        </w:rPr>
        <w:t xml:space="preserve">Proposal 3: </w:t>
      </w:r>
      <w:r w:rsidR="007D56D9">
        <w:rPr>
          <w:b/>
          <w:bCs/>
          <w:i/>
          <w:iCs/>
          <w:sz w:val="20"/>
          <w:szCs w:val="20"/>
        </w:rPr>
        <w:t>Since</w:t>
      </w:r>
      <w:r>
        <w:rPr>
          <w:b/>
          <w:bCs/>
          <w:i/>
          <w:iCs/>
          <w:sz w:val="20"/>
          <w:szCs w:val="20"/>
        </w:rPr>
        <w:t xml:space="preserve"> victim UE subband</w:t>
      </w:r>
      <w:r w:rsidR="007D56D9">
        <w:rPr>
          <w:b/>
          <w:bCs/>
          <w:i/>
          <w:iCs/>
          <w:sz w:val="20"/>
          <w:szCs w:val="20"/>
        </w:rPr>
        <w:t>s</w:t>
      </w:r>
      <w:r>
        <w:rPr>
          <w:b/>
          <w:bCs/>
          <w:i/>
          <w:iCs/>
          <w:sz w:val="20"/>
          <w:szCs w:val="20"/>
        </w:rPr>
        <w:t xml:space="preserve"> are impacted by inter cell inter UE CLI, the victim UEs should measure CLI within</w:t>
      </w:r>
      <w:r w:rsidR="007D56D9">
        <w:rPr>
          <w:b/>
          <w:bCs/>
          <w:i/>
          <w:iCs/>
          <w:sz w:val="20"/>
          <w:szCs w:val="20"/>
        </w:rPr>
        <w:t xml:space="preserve"> those</w:t>
      </w:r>
      <w:r>
        <w:rPr>
          <w:b/>
          <w:bCs/>
          <w:i/>
          <w:iCs/>
          <w:sz w:val="20"/>
          <w:szCs w:val="20"/>
        </w:rPr>
        <w:t xml:space="preserve"> subba</w:t>
      </w:r>
      <w:r w:rsidR="007D56D9">
        <w:rPr>
          <w:b/>
          <w:bCs/>
          <w:i/>
          <w:iCs/>
          <w:sz w:val="20"/>
          <w:szCs w:val="20"/>
        </w:rPr>
        <w:t>n</w:t>
      </w:r>
      <w:r>
        <w:rPr>
          <w:b/>
          <w:bCs/>
          <w:i/>
          <w:iCs/>
          <w:sz w:val="20"/>
          <w:szCs w:val="20"/>
        </w:rPr>
        <w:t>d</w:t>
      </w:r>
      <w:r w:rsidR="007D56D9">
        <w:rPr>
          <w:b/>
          <w:bCs/>
          <w:i/>
          <w:iCs/>
          <w:sz w:val="20"/>
          <w:szCs w:val="20"/>
        </w:rPr>
        <w:t>s</w:t>
      </w:r>
      <w:r>
        <w:rPr>
          <w:b/>
          <w:bCs/>
          <w:i/>
          <w:iCs/>
          <w:sz w:val="20"/>
          <w:szCs w:val="20"/>
        </w:rPr>
        <w:t xml:space="preserve"> for UE-</w:t>
      </w:r>
      <w:r w:rsidR="00CE0F83">
        <w:rPr>
          <w:b/>
          <w:bCs/>
          <w:i/>
          <w:iCs/>
          <w:sz w:val="20"/>
          <w:szCs w:val="20"/>
        </w:rPr>
        <w:t>UE CLI</w:t>
      </w:r>
      <w:r w:rsidR="004354C0">
        <w:rPr>
          <w:b/>
          <w:bCs/>
          <w:i/>
          <w:iCs/>
          <w:sz w:val="20"/>
          <w:szCs w:val="20"/>
        </w:rPr>
        <w:t xml:space="preserve"> measurement</w:t>
      </w:r>
      <w:r>
        <w:rPr>
          <w:b/>
          <w:bCs/>
          <w:i/>
          <w:iCs/>
          <w:sz w:val="20"/>
          <w:szCs w:val="20"/>
        </w:rPr>
        <w:t>.</w:t>
      </w:r>
    </w:p>
    <w:p w14:paraId="0BEB0648" w14:textId="77777777" w:rsidR="00751823" w:rsidRDefault="00000000" w:rsidP="0089296A">
      <w:pPr>
        <w:spacing w:before="240" w:after="240"/>
        <w:jc w:val="both"/>
        <w:textAlignment w:val="baseline"/>
        <w:rPr>
          <w:b/>
          <w:bCs/>
          <w:i/>
          <w:iCs/>
          <w:sz w:val="20"/>
          <w:szCs w:val="20"/>
        </w:rPr>
      </w:pPr>
      <w:r>
        <w:rPr>
          <w:b/>
          <w:bCs/>
          <w:color w:val="000000"/>
          <w:sz w:val="20"/>
          <w:szCs w:val="20"/>
          <w:lang w:eastAsia="en-IN"/>
        </w:rPr>
        <w:t xml:space="preserve">2.4 Enhancement related to UL and DL channels in </w:t>
      </w:r>
      <w:r>
        <w:rPr>
          <w:rFonts w:eastAsia="Malgun Gothic"/>
          <w:b/>
          <w:bCs/>
          <w:color w:val="000000"/>
          <w:sz w:val="20"/>
          <w:szCs w:val="20"/>
          <w:lang w:eastAsia="en-IN"/>
        </w:rPr>
        <w:t>SBFD and non SBFD slot</w:t>
      </w:r>
    </w:p>
    <w:p w14:paraId="525CC0FC" w14:textId="65368C66" w:rsidR="00751823" w:rsidRDefault="00000000" w:rsidP="0089296A">
      <w:pPr>
        <w:spacing w:before="240" w:after="240"/>
        <w:jc w:val="both"/>
        <w:rPr>
          <w:sz w:val="20"/>
          <w:szCs w:val="20"/>
        </w:rPr>
      </w:pPr>
      <w:r>
        <w:rPr>
          <w:sz w:val="20"/>
          <w:szCs w:val="20"/>
        </w:rPr>
        <w:t>Some channels like PDCCH can be present in both SBFD</w:t>
      </w:r>
      <w:r>
        <w:rPr>
          <w:rFonts w:eastAsia="Malgun Gothic"/>
          <w:sz w:val="20"/>
          <w:szCs w:val="20"/>
        </w:rPr>
        <w:t xml:space="preserve"> and non SBFD slots. PDCCH resources are dynamically adapted depending on the presence of SBFD symbols and the accompanying DL-UL frequency domain partition. For instance, the UE could be given multiple PDCCH CORESET configurations such as one associated with DL-only slots/symbols and another with SBFD slots/symbols. The CORESET that will be utilized is determined by the UE depending on the slot/symbol type.  </w:t>
      </w:r>
    </w:p>
    <w:p w14:paraId="678FCBE8" w14:textId="412C43C5" w:rsidR="00751823" w:rsidRDefault="00000000" w:rsidP="0089296A">
      <w:pPr>
        <w:tabs>
          <w:tab w:val="left" w:pos="0"/>
        </w:tabs>
        <w:spacing w:before="240" w:after="240"/>
        <w:rPr>
          <w:b/>
          <w:bCs/>
          <w:i/>
          <w:iCs/>
          <w:sz w:val="20"/>
          <w:szCs w:val="20"/>
        </w:rPr>
      </w:pPr>
      <w:r>
        <w:rPr>
          <w:rFonts w:eastAsia="Malgun Gothic"/>
          <w:b/>
          <w:bCs/>
          <w:i/>
          <w:iCs/>
          <w:sz w:val="20"/>
          <w:szCs w:val="20"/>
        </w:rPr>
        <w:t xml:space="preserve">Proposal 4: The impact of UL and DL channels </w:t>
      </w:r>
      <w:r w:rsidR="00643198">
        <w:rPr>
          <w:rFonts w:eastAsia="Malgun Gothic"/>
          <w:b/>
          <w:bCs/>
          <w:i/>
          <w:iCs/>
          <w:sz w:val="20"/>
          <w:szCs w:val="20"/>
        </w:rPr>
        <w:t>being</w:t>
      </w:r>
      <w:r>
        <w:rPr>
          <w:rFonts w:eastAsia="Malgun Gothic"/>
          <w:b/>
          <w:bCs/>
          <w:i/>
          <w:iCs/>
          <w:sz w:val="20"/>
          <w:szCs w:val="20"/>
        </w:rPr>
        <w:t xml:space="preserve"> allocated for both SBFD and non SBFD slot</w:t>
      </w:r>
      <w:r w:rsidR="00643198">
        <w:rPr>
          <w:rFonts w:eastAsia="Malgun Gothic"/>
          <w:b/>
          <w:bCs/>
          <w:i/>
          <w:iCs/>
          <w:sz w:val="20"/>
          <w:szCs w:val="20"/>
        </w:rPr>
        <w:t>s needs to be studied.</w:t>
      </w:r>
    </w:p>
    <w:p w14:paraId="128E6F8E" w14:textId="77777777" w:rsidR="00751823" w:rsidRDefault="00000000" w:rsidP="009D1FD2">
      <w:pPr>
        <w:pStyle w:val="Heading1"/>
        <w:numPr>
          <w:ilvl w:val="0"/>
          <w:numId w:val="25"/>
        </w:numPr>
      </w:pPr>
      <w:r>
        <w:t>Conclusion</w:t>
      </w:r>
    </w:p>
    <w:p w14:paraId="7D5A601E" w14:textId="77777777" w:rsidR="00751823" w:rsidRDefault="00000000">
      <w:pPr>
        <w:spacing w:before="120" w:after="120"/>
        <w:jc w:val="both"/>
        <w:rPr>
          <w:sz w:val="20"/>
          <w:szCs w:val="20"/>
        </w:rPr>
      </w:pPr>
      <w:r>
        <w:rPr>
          <w:sz w:val="20"/>
          <w:szCs w:val="20"/>
        </w:rPr>
        <w:t xml:space="preserve">We made the following observations and proposals based on our discussion. </w:t>
      </w:r>
    </w:p>
    <w:p w14:paraId="0436FD21" w14:textId="601460BE" w:rsidR="00CE0F83" w:rsidRPr="00C5607F" w:rsidRDefault="00CE0F83" w:rsidP="00CE0F83">
      <w:pPr>
        <w:spacing w:before="240" w:after="240"/>
        <w:rPr>
          <w:rFonts w:eastAsiaTheme="minorEastAsia"/>
          <w:sz w:val="20"/>
          <w:szCs w:val="20"/>
        </w:rPr>
      </w:pPr>
      <w:r>
        <w:rPr>
          <w:b/>
          <w:bCs/>
          <w:i/>
          <w:iCs/>
          <w:color w:val="000000"/>
          <w:sz w:val="20"/>
          <w:szCs w:val="20"/>
        </w:rPr>
        <w:t xml:space="preserve">Observation </w:t>
      </w:r>
      <w:r w:rsidR="009D1FD2">
        <w:rPr>
          <w:b/>
          <w:bCs/>
          <w:i/>
          <w:iCs/>
          <w:color w:val="000000"/>
          <w:sz w:val="20"/>
          <w:szCs w:val="20"/>
        </w:rPr>
        <w:t>1</w:t>
      </w:r>
      <w:r>
        <w:rPr>
          <w:b/>
          <w:bCs/>
          <w:i/>
          <w:iCs/>
          <w:color w:val="000000"/>
          <w:sz w:val="20"/>
          <w:szCs w:val="20"/>
        </w:rPr>
        <w:t>:</w:t>
      </w:r>
      <w:r>
        <w:rPr>
          <w:color w:val="000000"/>
          <w:sz w:val="20"/>
          <w:szCs w:val="20"/>
        </w:rPr>
        <w:t xml:space="preserve"> In case of flexible slots,</w:t>
      </w:r>
      <w:r>
        <w:rPr>
          <w:sz w:val="20"/>
          <w:szCs w:val="20"/>
        </w:rPr>
        <w:t xml:space="preserve"> the UE has simultaneous DL &amp; UL messages being allocated to it. So,</w:t>
      </w:r>
      <w:r>
        <w:rPr>
          <w:color w:val="000000"/>
          <w:sz w:val="20"/>
          <w:szCs w:val="20"/>
        </w:rPr>
        <w:t xml:space="preserve"> there might be chance of collision of DL and UL messages.</w:t>
      </w:r>
      <w:r w:rsidRPr="00C5607F">
        <w:rPr>
          <w:rFonts w:eastAsiaTheme="minorEastAsia"/>
          <w:b/>
          <w:bCs/>
          <w:i/>
          <w:iCs/>
          <w:sz w:val="20"/>
          <w:szCs w:val="20"/>
        </w:rPr>
        <w:t xml:space="preserve"> </w:t>
      </w:r>
      <w:r>
        <w:rPr>
          <w:rFonts w:eastAsiaTheme="minorEastAsia"/>
          <w:b/>
          <w:bCs/>
          <w:i/>
          <w:iCs/>
          <w:sz w:val="20"/>
          <w:szCs w:val="20"/>
        </w:rPr>
        <w:t xml:space="preserve"> </w:t>
      </w:r>
      <w:r w:rsidRPr="00C5607F">
        <w:rPr>
          <w:rFonts w:eastAsiaTheme="minorEastAsia"/>
          <w:sz w:val="20"/>
          <w:szCs w:val="20"/>
        </w:rPr>
        <w:t xml:space="preserve">For Example: The gNB </w:t>
      </w:r>
      <w:r w:rsidR="00082D26" w:rsidRPr="00C5607F">
        <w:rPr>
          <w:rFonts w:eastAsiaTheme="minorEastAsia"/>
          <w:sz w:val="20"/>
          <w:szCs w:val="20"/>
        </w:rPr>
        <w:t>semi statically</w:t>
      </w:r>
      <w:r w:rsidRPr="00C5607F">
        <w:rPr>
          <w:rFonts w:eastAsiaTheme="minorEastAsia"/>
          <w:sz w:val="20"/>
          <w:szCs w:val="20"/>
        </w:rPr>
        <w:t xml:space="preserve"> configures UL subband in a symbol. The same symbol might be configured with a periodic CSI-RS in DL. In this case, the UE needs to decide whether to perform CSI-RS reception or UL transmission. Thus, priority rule needs to be defined in the specification for such collisions. </w:t>
      </w:r>
    </w:p>
    <w:p w14:paraId="4C9984B9" w14:textId="5768EEF7" w:rsidR="00CE0F83" w:rsidRDefault="00CE0F83" w:rsidP="00CE0F83">
      <w:pPr>
        <w:spacing w:before="240" w:after="240"/>
        <w:rPr>
          <w:rFonts w:eastAsiaTheme="minorEastAsia"/>
          <w:b/>
          <w:bCs/>
          <w:i/>
          <w:iCs/>
          <w:sz w:val="20"/>
          <w:szCs w:val="20"/>
        </w:rPr>
      </w:pPr>
      <w:r>
        <w:rPr>
          <w:b/>
          <w:bCs/>
          <w:i/>
          <w:iCs/>
          <w:sz w:val="20"/>
          <w:szCs w:val="20"/>
        </w:rPr>
        <w:t>Proposal</w:t>
      </w:r>
      <w:r w:rsidR="009D1FD2">
        <w:rPr>
          <w:b/>
          <w:bCs/>
          <w:i/>
          <w:iCs/>
          <w:sz w:val="20"/>
          <w:szCs w:val="20"/>
        </w:rPr>
        <w:t xml:space="preserve"> 1</w:t>
      </w:r>
      <w:r>
        <w:rPr>
          <w:b/>
          <w:bCs/>
          <w:i/>
          <w:iCs/>
          <w:sz w:val="20"/>
          <w:szCs w:val="20"/>
        </w:rPr>
        <w:t>:</w:t>
      </w:r>
      <w:r>
        <w:rPr>
          <w:rFonts w:eastAsiaTheme="minorEastAsia"/>
          <w:i/>
          <w:iCs/>
          <w:sz w:val="20"/>
          <w:szCs w:val="20"/>
        </w:rPr>
        <w:t xml:space="preserve"> </w:t>
      </w:r>
      <w:r>
        <w:rPr>
          <w:rFonts w:eastAsiaTheme="minorEastAsia"/>
          <w:b/>
          <w:bCs/>
          <w:i/>
          <w:iCs/>
          <w:sz w:val="20"/>
          <w:szCs w:val="20"/>
        </w:rPr>
        <w:t>There should be a study to examine the DL and UL message collision in flexible slots by using gNB schedulers for dynamically schedule the messages for that slot. The gNB scheduler can configure and schedule the UL/DL transmission in a symbol.</w:t>
      </w:r>
    </w:p>
    <w:p w14:paraId="32381834" w14:textId="1276A80E" w:rsidR="009D1FD2" w:rsidRPr="0089296A" w:rsidRDefault="009D1FD2" w:rsidP="009D1FD2">
      <w:pPr>
        <w:spacing w:before="240" w:after="240"/>
        <w:jc w:val="both"/>
        <w:textAlignment w:val="baseline"/>
        <w:rPr>
          <w:b/>
          <w:bCs/>
        </w:rPr>
      </w:pPr>
      <w:r w:rsidRPr="0089296A">
        <w:rPr>
          <w:b/>
          <w:bCs/>
          <w:i/>
          <w:iCs/>
          <w:sz w:val="20"/>
          <w:szCs w:val="20"/>
        </w:rPr>
        <w:t xml:space="preserve">Observation </w:t>
      </w:r>
      <w:r>
        <w:rPr>
          <w:b/>
          <w:bCs/>
          <w:i/>
          <w:iCs/>
          <w:sz w:val="20"/>
          <w:szCs w:val="20"/>
        </w:rPr>
        <w:t>2</w:t>
      </w:r>
      <w:r w:rsidRPr="0089296A">
        <w:rPr>
          <w:b/>
          <w:bCs/>
          <w:i/>
          <w:iCs/>
          <w:sz w:val="20"/>
          <w:szCs w:val="20"/>
        </w:rPr>
        <w:t>:</w:t>
      </w:r>
      <w:r w:rsidRPr="0089296A">
        <w:rPr>
          <w:b/>
          <w:bCs/>
        </w:rPr>
        <w:t xml:space="preserve"> </w:t>
      </w:r>
      <w:r w:rsidRPr="0089296A">
        <w:rPr>
          <w:color w:val="000000"/>
          <w:sz w:val="20"/>
          <w:szCs w:val="20"/>
        </w:rPr>
        <w:t xml:space="preserve">Allowing PRACH transmission in SBFD symbols increases </w:t>
      </w:r>
      <w:r>
        <w:rPr>
          <w:color w:val="000000"/>
          <w:sz w:val="20"/>
          <w:szCs w:val="20"/>
        </w:rPr>
        <w:t>the</w:t>
      </w:r>
      <w:r w:rsidRPr="0089296A">
        <w:rPr>
          <w:color w:val="000000"/>
          <w:sz w:val="20"/>
          <w:szCs w:val="20"/>
        </w:rPr>
        <w:t xml:space="preserve"> number of consecutive slots. Repetition of PRACH signal increase the </w:t>
      </w:r>
      <w:r>
        <w:rPr>
          <w:color w:val="000000"/>
          <w:sz w:val="20"/>
          <w:szCs w:val="20"/>
        </w:rPr>
        <w:t xml:space="preserve">UL </w:t>
      </w:r>
      <w:r w:rsidRPr="0089296A">
        <w:rPr>
          <w:color w:val="000000"/>
          <w:sz w:val="20"/>
          <w:szCs w:val="20"/>
        </w:rPr>
        <w:t>coverage</w:t>
      </w:r>
      <w:r>
        <w:rPr>
          <w:color w:val="000000"/>
          <w:sz w:val="20"/>
          <w:szCs w:val="20"/>
        </w:rPr>
        <w:t>.</w:t>
      </w:r>
    </w:p>
    <w:p w14:paraId="6314DB90" w14:textId="1180FB0F" w:rsidR="009D1FD2" w:rsidRPr="009D1FD2" w:rsidRDefault="009D1FD2" w:rsidP="009D1FD2">
      <w:pPr>
        <w:spacing w:before="240" w:after="240"/>
        <w:jc w:val="both"/>
        <w:rPr>
          <w:b/>
          <w:bCs/>
          <w:i/>
          <w:iCs/>
          <w:sz w:val="20"/>
          <w:szCs w:val="20"/>
        </w:rPr>
      </w:pPr>
      <w:r>
        <w:rPr>
          <w:b/>
          <w:bCs/>
          <w:i/>
          <w:iCs/>
          <w:sz w:val="20"/>
          <w:szCs w:val="20"/>
        </w:rPr>
        <w:t xml:space="preserve">Proposal </w:t>
      </w:r>
      <w:r>
        <w:rPr>
          <w:b/>
          <w:bCs/>
          <w:i/>
          <w:iCs/>
          <w:sz w:val="20"/>
          <w:szCs w:val="20"/>
        </w:rPr>
        <w:t>2</w:t>
      </w:r>
      <w:r>
        <w:rPr>
          <w:b/>
          <w:bCs/>
          <w:i/>
          <w:iCs/>
          <w:sz w:val="20"/>
          <w:szCs w:val="20"/>
        </w:rPr>
        <w:t>: Initial access on SBFD symbols needs to be studied since allowing initial access in SBFD symbols can improve PRACH latency as it decreases initial access delay unlike legacy TDD.</w:t>
      </w:r>
    </w:p>
    <w:p w14:paraId="1E68E192" w14:textId="77777777" w:rsidR="00CE0F83" w:rsidRDefault="00CE0F83" w:rsidP="00CE0F83">
      <w:pPr>
        <w:spacing w:before="240" w:after="240"/>
        <w:jc w:val="both"/>
        <w:rPr>
          <w:b/>
          <w:bCs/>
          <w:sz w:val="20"/>
          <w:szCs w:val="20"/>
          <w:lang w:eastAsia="en-US"/>
        </w:rPr>
      </w:pPr>
      <w:r w:rsidRPr="00082D26">
        <w:rPr>
          <w:b/>
          <w:bCs/>
          <w:i/>
          <w:iCs/>
          <w:sz w:val="20"/>
          <w:szCs w:val="20"/>
        </w:rPr>
        <w:t>Observation 3:</w:t>
      </w:r>
      <w:r>
        <w:rPr>
          <w:b/>
          <w:bCs/>
          <w:sz w:val="20"/>
          <w:szCs w:val="20"/>
        </w:rPr>
        <w:t xml:space="preserve"> </w:t>
      </w:r>
      <w:r>
        <w:rPr>
          <w:sz w:val="20"/>
          <w:szCs w:val="20"/>
        </w:rPr>
        <w:t>The SBFD scenario is different from legacy TDD and dynamic TDD. Hence require more specifications in case of UE- UE and gNB-gNB CLI mitigation and handling.</w:t>
      </w:r>
      <w:r w:rsidRPr="004354C0">
        <w:rPr>
          <w:rFonts w:eastAsiaTheme="minorEastAsia"/>
          <w:sz w:val="20"/>
          <w:szCs w:val="20"/>
        </w:rPr>
        <w:t xml:space="preserve"> </w:t>
      </w:r>
      <w:r>
        <w:rPr>
          <w:rFonts w:eastAsiaTheme="minorEastAsia"/>
          <w:sz w:val="20"/>
          <w:szCs w:val="20"/>
        </w:rPr>
        <w:t>The CLI need to be measured for the CLI mitigation and handling.</w:t>
      </w:r>
    </w:p>
    <w:p w14:paraId="38A26692" w14:textId="77777777" w:rsidR="00CE0F83" w:rsidRDefault="00CE0F83" w:rsidP="00CE0F83">
      <w:pPr>
        <w:spacing w:before="240" w:after="240"/>
        <w:jc w:val="both"/>
        <w:rPr>
          <w:b/>
          <w:bCs/>
          <w:i/>
          <w:iCs/>
          <w:sz w:val="20"/>
          <w:szCs w:val="20"/>
        </w:rPr>
      </w:pPr>
      <w:r>
        <w:rPr>
          <w:b/>
          <w:bCs/>
          <w:i/>
          <w:iCs/>
          <w:sz w:val="20"/>
          <w:szCs w:val="20"/>
        </w:rPr>
        <w:t>Proposal 3: As victim UEs subband are getting impacted by inter cell inter UE CLI, So the victim UEs should measure CLI within subband for UE-UE CLI measurement.</w:t>
      </w:r>
    </w:p>
    <w:p w14:paraId="365AA0B8" w14:textId="77777777" w:rsidR="00643198" w:rsidRPr="00643198" w:rsidRDefault="00643198" w:rsidP="00643198">
      <w:pPr>
        <w:tabs>
          <w:tab w:val="left" w:pos="0"/>
        </w:tabs>
        <w:spacing w:before="240" w:after="240"/>
        <w:rPr>
          <w:b/>
          <w:bCs/>
          <w:i/>
          <w:iCs/>
          <w:sz w:val="20"/>
          <w:szCs w:val="20"/>
        </w:rPr>
      </w:pPr>
      <w:r w:rsidRPr="00643198">
        <w:rPr>
          <w:rFonts w:eastAsia="Malgun Gothic"/>
          <w:b/>
          <w:bCs/>
          <w:i/>
          <w:iCs/>
          <w:sz w:val="20"/>
          <w:szCs w:val="20"/>
        </w:rPr>
        <w:t>Proposal 4: The impact of UL and DL channels being allocated for both SBFD and non SBFD slots needs to be studied.</w:t>
      </w:r>
    </w:p>
    <w:p w14:paraId="73CC7211" w14:textId="77777777" w:rsidR="00751823" w:rsidRDefault="00000000" w:rsidP="009D1FD2">
      <w:pPr>
        <w:pStyle w:val="Heading1"/>
        <w:numPr>
          <w:ilvl w:val="0"/>
          <w:numId w:val="25"/>
        </w:numPr>
      </w:pPr>
      <w:r>
        <w:t>References</w:t>
      </w:r>
    </w:p>
    <w:p w14:paraId="0540DDBB" w14:textId="77777777" w:rsidR="00751823" w:rsidRDefault="00000000">
      <w:pPr>
        <w:pStyle w:val="NormalWeb"/>
        <w:spacing w:before="280" w:after="280"/>
        <w:jc w:val="both"/>
        <w:textAlignment w:val="baseline"/>
        <w:rPr>
          <w:color w:val="000000"/>
          <w:sz w:val="20"/>
          <w:szCs w:val="20"/>
        </w:rPr>
      </w:pPr>
      <w:r>
        <w:rPr>
          <w:color w:val="000000"/>
          <w:sz w:val="20"/>
          <w:szCs w:val="20"/>
        </w:rPr>
        <w:t>[1] Chair’s Notes, RAN1 #111, November 2022</w:t>
      </w:r>
    </w:p>
    <w:p w14:paraId="2487039C" w14:textId="77777777" w:rsidR="00751823" w:rsidRDefault="00000000">
      <w:pPr>
        <w:pStyle w:val="NormalWeb"/>
        <w:spacing w:before="280" w:after="280"/>
        <w:jc w:val="both"/>
        <w:textAlignment w:val="baseline"/>
        <w:rPr>
          <w:color w:val="000000"/>
          <w:sz w:val="20"/>
          <w:szCs w:val="20"/>
        </w:rPr>
      </w:pPr>
      <w:r>
        <w:rPr>
          <w:color w:val="000000"/>
          <w:sz w:val="20"/>
          <w:szCs w:val="20"/>
        </w:rPr>
        <w:t>[2] Chair’s Notes, RAN1 #110, August 2022</w:t>
      </w:r>
    </w:p>
    <w:p w14:paraId="6E5A9490" w14:textId="41C5CD42" w:rsidR="00751823" w:rsidRDefault="00000000" w:rsidP="009D1FD2">
      <w:pPr>
        <w:pStyle w:val="NormalWeb"/>
        <w:spacing w:before="280" w:after="280"/>
        <w:jc w:val="both"/>
        <w:textAlignment w:val="baseline"/>
      </w:pPr>
      <w:r>
        <w:rPr>
          <w:color w:val="000000"/>
          <w:sz w:val="20"/>
          <w:szCs w:val="20"/>
        </w:rPr>
        <w:t>[3] Chair’s Notes, RAN1 #109-e, May 2022</w:t>
      </w:r>
    </w:p>
    <w:sectPr w:rsidR="00751823">
      <w:pgSz w:w="11906" w:h="16838"/>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0C52" w14:textId="77777777" w:rsidR="002D5949" w:rsidRDefault="002D5949" w:rsidP="009D1FD2">
      <w:r>
        <w:separator/>
      </w:r>
    </w:p>
  </w:endnote>
  <w:endnote w:type="continuationSeparator" w:id="0">
    <w:p w14:paraId="06491FA0" w14:textId="77777777" w:rsidR="002D5949" w:rsidRDefault="002D5949" w:rsidP="009D1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77A42" w14:textId="77777777" w:rsidR="002D5949" w:rsidRDefault="002D5949" w:rsidP="009D1FD2">
      <w:r>
        <w:separator/>
      </w:r>
    </w:p>
  </w:footnote>
  <w:footnote w:type="continuationSeparator" w:id="0">
    <w:p w14:paraId="0CB73339" w14:textId="77777777" w:rsidR="002D5949" w:rsidRDefault="002D5949" w:rsidP="009D1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855"/>
    <w:multiLevelType w:val="multilevel"/>
    <w:tmpl w:val="350EDBA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4BD08DE"/>
    <w:multiLevelType w:val="multilevel"/>
    <w:tmpl w:val="CAEA277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A81CA7"/>
    <w:multiLevelType w:val="multilevel"/>
    <w:tmpl w:val="BF081A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817229F"/>
    <w:multiLevelType w:val="multilevel"/>
    <w:tmpl w:val="C3C25E5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D46764E"/>
    <w:multiLevelType w:val="multilevel"/>
    <w:tmpl w:val="A4F0218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F711493"/>
    <w:multiLevelType w:val="multilevel"/>
    <w:tmpl w:val="1948424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3DD46EB"/>
    <w:multiLevelType w:val="multilevel"/>
    <w:tmpl w:val="F6FA91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B62353C"/>
    <w:multiLevelType w:val="multilevel"/>
    <w:tmpl w:val="F8A44B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093603D"/>
    <w:multiLevelType w:val="multilevel"/>
    <w:tmpl w:val="C3C880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AF58E5"/>
    <w:multiLevelType w:val="multilevel"/>
    <w:tmpl w:val="141271B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829633F"/>
    <w:multiLevelType w:val="multilevel"/>
    <w:tmpl w:val="7EEEE84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BAC1E7F"/>
    <w:multiLevelType w:val="multilevel"/>
    <w:tmpl w:val="64A0E06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22D24B2"/>
    <w:multiLevelType w:val="multilevel"/>
    <w:tmpl w:val="CDD05B0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5525211"/>
    <w:multiLevelType w:val="multilevel"/>
    <w:tmpl w:val="40C889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61204DF"/>
    <w:multiLevelType w:val="multilevel"/>
    <w:tmpl w:val="3FB6B32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E95144D"/>
    <w:multiLevelType w:val="multilevel"/>
    <w:tmpl w:val="1158A6D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630666B"/>
    <w:multiLevelType w:val="multilevel"/>
    <w:tmpl w:val="EAA6640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563948086">
    <w:abstractNumId w:val="9"/>
  </w:num>
  <w:num w:numId="2" w16cid:durableId="1378429103">
    <w:abstractNumId w:val="10"/>
  </w:num>
  <w:num w:numId="3" w16cid:durableId="660473359">
    <w:abstractNumId w:val="15"/>
  </w:num>
  <w:num w:numId="4" w16cid:durableId="479467818">
    <w:abstractNumId w:val="2"/>
  </w:num>
  <w:num w:numId="5" w16cid:durableId="1977373536">
    <w:abstractNumId w:val="13"/>
  </w:num>
  <w:num w:numId="6" w16cid:durableId="1925456836">
    <w:abstractNumId w:val="14"/>
  </w:num>
  <w:num w:numId="7" w16cid:durableId="311721571">
    <w:abstractNumId w:val="4"/>
  </w:num>
  <w:num w:numId="8" w16cid:durableId="2014916063">
    <w:abstractNumId w:val="7"/>
  </w:num>
  <w:num w:numId="9" w16cid:durableId="981156059">
    <w:abstractNumId w:val="5"/>
  </w:num>
  <w:num w:numId="10" w16cid:durableId="1618373590">
    <w:abstractNumId w:val="6"/>
  </w:num>
  <w:num w:numId="11" w16cid:durableId="1903832157">
    <w:abstractNumId w:val="3"/>
  </w:num>
  <w:num w:numId="12" w16cid:durableId="1728143770">
    <w:abstractNumId w:val="0"/>
  </w:num>
  <w:num w:numId="13" w16cid:durableId="2010935848">
    <w:abstractNumId w:val="1"/>
  </w:num>
  <w:num w:numId="14" w16cid:durableId="1397824170">
    <w:abstractNumId w:val="8"/>
  </w:num>
  <w:num w:numId="15" w16cid:durableId="698236971">
    <w:abstractNumId w:val="12"/>
  </w:num>
  <w:num w:numId="16" w16cid:durableId="1397166922">
    <w:abstractNumId w:val="16"/>
  </w:num>
  <w:num w:numId="17" w16cid:durableId="1778408220">
    <w:abstractNumId w:val="15"/>
  </w:num>
  <w:num w:numId="18" w16cid:durableId="1420177966">
    <w:abstractNumId w:val="15"/>
  </w:num>
  <w:num w:numId="19" w16cid:durableId="239024778">
    <w:abstractNumId w:val="15"/>
  </w:num>
  <w:num w:numId="20" w16cid:durableId="734082119">
    <w:abstractNumId w:val="4"/>
  </w:num>
  <w:num w:numId="21" w16cid:durableId="593629779">
    <w:abstractNumId w:val="4"/>
  </w:num>
  <w:num w:numId="22" w16cid:durableId="1781878563">
    <w:abstractNumId w:val="4"/>
  </w:num>
  <w:num w:numId="23" w16cid:durableId="1231308715">
    <w:abstractNumId w:val="4"/>
  </w:num>
  <w:num w:numId="24" w16cid:durableId="1845894927">
    <w:abstractNumId w:val="4"/>
  </w:num>
  <w:num w:numId="25" w16cid:durableId="12596816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823"/>
    <w:rsid w:val="00024B6B"/>
    <w:rsid w:val="00082D26"/>
    <w:rsid w:val="000975F2"/>
    <w:rsid w:val="000A255A"/>
    <w:rsid w:val="00194958"/>
    <w:rsid w:val="002D5949"/>
    <w:rsid w:val="002E0327"/>
    <w:rsid w:val="003973EA"/>
    <w:rsid w:val="004354C0"/>
    <w:rsid w:val="004B6876"/>
    <w:rsid w:val="004C1538"/>
    <w:rsid w:val="00643198"/>
    <w:rsid w:val="00676861"/>
    <w:rsid w:val="00717888"/>
    <w:rsid w:val="00751823"/>
    <w:rsid w:val="007C48BF"/>
    <w:rsid w:val="007D56D9"/>
    <w:rsid w:val="0089296A"/>
    <w:rsid w:val="008E7F54"/>
    <w:rsid w:val="009D1FD2"/>
    <w:rsid w:val="00C072F7"/>
    <w:rsid w:val="00C10E51"/>
    <w:rsid w:val="00C5607F"/>
    <w:rsid w:val="00CE0F83"/>
    <w:rsid w:val="00D10626"/>
    <w:rsid w:val="00E73115"/>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C7D1D"/>
  <w15:docId w15:val="{82ECF60A-78F2-4130-A9D2-B3E8EB48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659"/>
    <w:rPr>
      <w:rFonts w:ascii="Times New Roman" w:eastAsia="Times New Roman" w:hAnsi="Times New Roman" w:cs="Times New Roman"/>
      <w:sz w:val="24"/>
      <w:lang w:val="en-US" w:eastAsia="zh-CN"/>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character" w:customStyle="1" w:styleId="ListParagraphChar">
    <w:name w:val="List Paragraph Char"/>
    <w:link w:val="ListParagraph"/>
    <w:uiPriority w:val="34"/>
    <w:qFormat/>
    <w:locked/>
    <w:rsid w:val="00C937B3"/>
    <w:rPr>
      <w:rFonts w:ascii="Times New Roman" w:eastAsia="Times New Roman" w:hAnsi="Times New Roman" w:cs="Times New Roman"/>
      <w:lang w:val="en-US" w:eastAsia="zh-CN"/>
    </w:rPr>
  </w:style>
  <w:style w:type="character" w:customStyle="1" w:styleId="apple-tab-span">
    <w:name w:val="apple-tab-span"/>
    <w:basedOn w:val="DefaultParagraphFont"/>
    <w:qFormat/>
    <w:rsid w:val="002C205F"/>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rPr>
      <w:lang w:val="en-IN" w:eastAsia="en-GB"/>
    </w:rPr>
  </w:style>
  <w:style w:type="paragraph" w:styleId="ListParagraph">
    <w:name w:val="List Paragraph"/>
    <w:basedOn w:val="Normal"/>
    <w:link w:val="ListParagraphChar"/>
    <w:uiPriority w:val="34"/>
    <w:qFormat/>
    <w:rsid w:val="00C937B3"/>
    <w:pPr>
      <w:ind w:left="720"/>
      <w:contextualSpacing/>
    </w:pPr>
  </w:style>
  <w:style w:type="paragraph" w:styleId="Revision">
    <w:name w:val="Revision"/>
    <w:uiPriority w:val="99"/>
    <w:semiHidden/>
    <w:qFormat/>
    <w:rsid w:val="00FB0E65"/>
    <w:pPr>
      <w:suppressAutoHyphens w:val="0"/>
    </w:pPr>
    <w:rPr>
      <w:rFonts w:ascii="Times New Roman" w:eastAsia="Times New Roman" w:hAnsi="Times New Roman" w:cs="Times New Roman"/>
      <w:sz w:val="24"/>
      <w:lang w:val="en-US" w:eastAsia="zh-CN"/>
    </w:r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1FD2"/>
    <w:pPr>
      <w:tabs>
        <w:tab w:val="center" w:pos="4513"/>
        <w:tab w:val="right" w:pos="9026"/>
      </w:tabs>
    </w:pPr>
  </w:style>
  <w:style w:type="character" w:customStyle="1" w:styleId="HeaderChar">
    <w:name w:val="Header Char"/>
    <w:basedOn w:val="DefaultParagraphFont"/>
    <w:link w:val="Header"/>
    <w:uiPriority w:val="99"/>
    <w:rsid w:val="009D1FD2"/>
    <w:rPr>
      <w:rFonts w:ascii="Times New Roman" w:eastAsia="Times New Roman" w:hAnsi="Times New Roman" w:cs="Times New Roman"/>
      <w:sz w:val="24"/>
      <w:lang w:val="en-US" w:eastAsia="zh-CN"/>
    </w:rPr>
  </w:style>
  <w:style w:type="paragraph" w:styleId="Footer">
    <w:name w:val="footer"/>
    <w:basedOn w:val="Normal"/>
    <w:link w:val="FooterChar"/>
    <w:uiPriority w:val="99"/>
    <w:unhideWhenUsed/>
    <w:rsid w:val="009D1FD2"/>
    <w:pPr>
      <w:tabs>
        <w:tab w:val="center" w:pos="4513"/>
        <w:tab w:val="right" w:pos="9026"/>
      </w:tabs>
    </w:pPr>
  </w:style>
  <w:style w:type="character" w:customStyle="1" w:styleId="FooterChar">
    <w:name w:val="Footer Char"/>
    <w:basedOn w:val="DefaultParagraphFont"/>
    <w:link w:val="Footer"/>
    <w:uiPriority w:val="99"/>
    <w:rsid w:val="009D1FD2"/>
    <w:rPr>
      <w:rFonts w:ascii="Times New Roman" w:eastAsia="Times New Roman" w:hAnsi="Times New Roman" w:cs="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dc:creator>
  <dc:description/>
  <cp:lastModifiedBy>jyotirmayee subudhi</cp:lastModifiedBy>
  <cp:revision>8</cp:revision>
  <dcterms:created xsi:type="dcterms:W3CDTF">2023-02-17T14:01:00Z</dcterms:created>
  <dcterms:modified xsi:type="dcterms:W3CDTF">2023-02-17T15:35:00Z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